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4BB0B" w14:textId="77777777" w:rsidR="006E6E2A" w:rsidRDefault="00D25234">
      <w:pPr>
        <w:spacing w:after="0" w:line="360" w:lineRule="auto"/>
        <w:jc w:val="center"/>
      </w:pPr>
      <w:r>
        <w:rPr>
          <w:rFonts w:ascii="Arial" w:hAnsi="Arial" w:cs="Arial"/>
          <w:b/>
          <w:sz w:val="24"/>
        </w:rPr>
        <w:t>ESTUDO TÉCNICO PRELIMINAR</w:t>
      </w:r>
    </w:p>
    <w:p w14:paraId="1B487907" w14:textId="77777777" w:rsidR="006E6E2A" w:rsidRDefault="00D25234">
      <w:pPr>
        <w:spacing w:before="40" w:line="360" w:lineRule="auto"/>
        <w:jc w:val="center"/>
      </w:pPr>
      <w:r>
        <w:rPr>
          <w:rFonts w:ascii="Arial" w:hAnsi="Arial" w:cs="Arial"/>
          <w:b/>
          <w:sz w:val="24"/>
        </w:rPr>
        <w:t>OUTORGA DE CONCESSÃO DE USO ONEROSA DE BEM PÚBLICO IMÓVEL – BOX COMERCIAL DO TERMINAL RODOVIÁRIO "EMÍLIO PELISSARI"</w:t>
      </w:r>
    </w:p>
    <w:p w14:paraId="4657C7D3" w14:textId="77777777" w:rsidR="006E6E2A" w:rsidRDefault="00D25234">
      <w:pPr>
        <w:shd w:val="clear" w:color="auto" w:fill="BFBFBF"/>
        <w:spacing w:before="200" w:after="120" w:line="240" w:lineRule="auto"/>
        <w:jc w:val="center"/>
      </w:pPr>
      <w:r>
        <w:rPr>
          <w:rFonts w:ascii="Arial" w:hAnsi="Arial" w:cs="Arial"/>
          <w:b/>
          <w:sz w:val="24"/>
        </w:rPr>
        <w:t>IDENTIFICAÇÃO DO PEDIDO</w:t>
      </w:r>
    </w:p>
    <w:p w14:paraId="3099D207" w14:textId="50FE9A2C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Número da Requisição: 0</w:t>
      </w:r>
      <w:r w:rsidR="000D7BD7">
        <w:rPr>
          <w:rFonts w:ascii="Arial" w:hAnsi="Arial" w:cs="Arial"/>
          <w:sz w:val="24"/>
        </w:rPr>
        <w:t>45</w:t>
      </w:r>
      <w:r>
        <w:rPr>
          <w:rFonts w:ascii="Arial" w:hAnsi="Arial" w:cs="Arial"/>
          <w:sz w:val="24"/>
        </w:rPr>
        <w:t>/2026.</w:t>
      </w:r>
    </w:p>
    <w:p w14:paraId="181B315C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b/>
          <w:sz w:val="24"/>
        </w:rPr>
        <w:t>OBJETO: Outorga de concessão de uso onerosa de bem público imóvel correspondente a um box comercial para exploração de lanchonete e serviços de alimentação, localizado no Terminal Rodoviário de Passageiros "Emílio Pelissari".</w:t>
      </w:r>
    </w:p>
    <w:p w14:paraId="66414F97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b/>
          <w:sz w:val="24"/>
        </w:rPr>
        <w:t>LOCALIZAÇÃO: Rua Samuel Klepach, nº 570, Bairro Nossa Senhora da Vitória, Ibirarema/SP.</w:t>
      </w:r>
    </w:p>
    <w:p w14:paraId="72974465" w14:textId="77777777" w:rsidR="006E6E2A" w:rsidRDefault="00D25234">
      <w:pPr>
        <w:shd w:val="clear" w:color="auto" w:fill="BFBFBF"/>
        <w:spacing w:before="200" w:after="120" w:line="240" w:lineRule="auto"/>
        <w:jc w:val="center"/>
      </w:pPr>
      <w:r>
        <w:rPr>
          <w:rFonts w:ascii="Arial" w:hAnsi="Arial" w:cs="Arial"/>
          <w:b/>
          <w:sz w:val="24"/>
        </w:rPr>
        <w:t>1. SETOR REQUISITANTE/ÁREA TÉCNICA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4535"/>
      </w:tblGrid>
      <w:tr w:rsidR="006E6E2A" w14:paraId="17DFFD63" w14:textId="77777777">
        <w:trPr>
          <w:jc w:val="center"/>
        </w:trPr>
        <w:tc>
          <w:tcPr>
            <w:tcW w:w="5386" w:type="dxa"/>
            <w:shd w:val="clear" w:color="auto" w:fill="D9D9D9"/>
          </w:tcPr>
          <w:p w14:paraId="3027D027" w14:textId="77777777" w:rsidR="006E6E2A" w:rsidRDefault="00D25234">
            <w:pPr>
              <w:jc w:val="center"/>
            </w:pPr>
            <w:r>
              <w:rPr>
                <w:rFonts w:ascii="Arial" w:hAnsi="Arial" w:cs="Arial"/>
                <w:b/>
                <w:sz w:val="21"/>
              </w:rPr>
              <w:t>Área Requisitante/Área Técnica</w:t>
            </w:r>
          </w:p>
        </w:tc>
        <w:tc>
          <w:tcPr>
            <w:tcW w:w="4535" w:type="dxa"/>
            <w:shd w:val="clear" w:color="auto" w:fill="D9D9D9"/>
          </w:tcPr>
          <w:p w14:paraId="02692C95" w14:textId="77777777" w:rsidR="006E6E2A" w:rsidRDefault="00D25234">
            <w:pPr>
              <w:jc w:val="center"/>
            </w:pPr>
            <w:r>
              <w:rPr>
                <w:rFonts w:ascii="Arial" w:hAnsi="Arial" w:cs="Arial"/>
                <w:b/>
                <w:sz w:val="21"/>
              </w:rPr>
              <w:t>Responsável</w:t>
            </w:r>
          </w:p>
        </w:tc>
      </w:tr>
      <w:tr w:rsidR="006E6E2A" w14:paraId="7ED3DD17" w14:textId="77777777">
        <w:trPr>
          <w:jc w:val="center"/>
        </w:trPr>
        <w:tc>
          <w:tcPr>
            <w:tcW w:w="5386" w:type="dxa"/>
          </w:tcPr>
          <w:p w14:paraId="07088DB8" w14:textId="77777777" w:rsidR="006E6E2A" w:rsidRDefault="00D25234">
            <w:r>
              <w:rPr>
                <w:rFonts w:ascii="Arial" w:hAnsi="Arial" w:cs="Arial"/>
                <w:sz w:val="21"/>
              </w:rPr>
              <w:t>Gabinete do Prefeito / Departamento de Cultura, Turismo e Comunicação</w:t>
            </w:r>
          </w:p>
        </w:tc>
        <w:tc>
          <w:tcPr>
            <w:tcW w:w="4535" w:type="dxa"/>
          </w:tcPr>
          <w:p w14:paraId="6E3192A6" w14:textId="77777777" w:rsidR="006E6E2A" w:rsidRDefault="00D25234">
            <w:r>
              <w:rPr>
                <w:rFonts w:ascii="Arial" w:hAnsi="Arial" w:cs="Arial"/>
                <w:sz w:val="21"/>
              </w:rPr>
              <w:t>Eloize Ellen Silva de Souza – Diretora de Cultura, Turismo e Comunicação</w:t>
            </w:r>
          </w:p>
        </w:tc>
      </w:tr>
    </w:tbl>
    <w:p w14:paraId="20D5C60D" w14:textId="77777777" w:rsidR="006E6E2A" w:rsidRDefault="006E6E2A">
      <w:pPr>
        <w:spacing w:after="40"/>
      </w:pPr>
    </w:p>
    <w:p w14:paraId="441B9C97" w14:textId="77777777" w:rsidR="006E6E2A" w:rsidRDefault="00D25234">
      <w:pPr>
        <w:shd w:val="clear" w:color="auto" w:fill="BFBFBF"/>
        <w:spacing w:before="200" w:after="120" w:line="240" w:lineRule="auto"/>
        <w:jc w:val="center"/>
      </w:pPr>
      <w:r>
        <w:rPr>
          <w:rFonts w:ascii="Arial" w:hAnsi="Arial" w:cs="Arial"/>
          <w:b/>
          <w:sz w:val="24"/>
        </w:rPr>
        <w:t>2. DESCRIÇÃO DA NECESSIDADE DA CONTRATAÇÃO</w:t>
      </w:r>
    </w:p>
    <w:p w14:paraId="72532BB6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Em atendimento ao artigo 10, inciso I, do Decreto Municipal nº 007/2024, o presente Estudo Técnico Preliminar tem por objeto a outorga de concessão de uso onerosa de bem público imóvel municipal, correspondente a um box comercial situado no Terminal Rodoviário de Passageiros "Emílio Pelissari", destinado à exploração de lanchonete e serviços de alimentação, para satisfazer as seguintes necessidades da Administração, evidenciando de forma clara e objetiva o problema identificado e a real necessidade sob o po</w:t>
      </w:r>
      <w:r>
        <w:rPr>
          <w:rFonts w:ascii="Arial" w:hAnsi="Arial" w:cs="Arial"/>
          <w:sz w:val="24"/>
        </w:rPr>
        <w:t>nto de vista do interesse público:</w:t>
      </w:r>
    </w:p>
    <w:p w14:paraId="7BC0E3AB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Finalidade Pública:</w:t>
      </w:r>
      <w:r>
        <w:rPr>
          <w:rFonts w:ascii="Arial" w:hAnsi="Arial" w:cs="Arial"/>
          <w:sz w:val="24"/>
        </w:rPr>
        <w:t xml:space="preserve"> A demanda fundamenta-se na necessidade de conferir destinação econômica e utilidade social a uma área pública edificada de propriedade do Município de Ibirarema, localizada no Terminal Rodoviário de Passageiros.</w:t>
      </w:r>
    </w:p>
    <w:p w14:paraId="31EB0F62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Conforto e Atendimento:</w:t>
      </w:r>
      <w:r>
        <w:rPr>
          <w:rFonts w:ascii="Arial" w:hAnsi="Arial" w:cs="Arial"/>
          <w:sz w:val="24"/>
        </w:rPr>
        <w:t xml:space="preserve"> A abertura do box visa garantir serviços de conveniência, lanchonete e alimentação para os usuários do transporte público, pedestres e motoristas que circulam diariamente pelo terminal rodoviário.</w:t>
      </w:r>
    </w:p>
    <w:p w14:paraId="21B9EA9C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Eficiência Patrimonial:</w:t>
      </w:r>
      <w:r>
        <w:rPr>
          <w:rFonts w:ascii="Arial" w:hAnsi="Arial" w:cs="Arial"/>
          <w:sz w:val="24"/>
        </w:rPr>
        <w:t xml:space="preserve"> A transferência da exploração comercial para a iniciativa privada desonera o município dos custos operacionais internos de manutenção, </w:t>
      </w:r>
      <w:r>
        <w:rPr>
          <w:rFonts w:ascii="Arial" w:hAnsi="Arial" w:cs="Arial"/>
          <w:sz w:val="24"/>
        </w:rPr>
        <w:lastRenderedPageBreak/>
        <w:t>conservação e limpeza daquela unidade isolada, gerando receitas não tributárias ao erário por meio do recebimento de outorga mensal.</w:t>
      </w:r>
    </w:p>
    <w:p w14:paraId="746A2B80" w14:textId="77777777" w:rsidR="006E6E2A" w:rsidRDefault="00D25234">
      <w:pPr>
        <w:shd w:val="clear" w:color="auto" w:fill="BFBFBF"/>
        <w:spacing w:before="200" w:after="120" w:line="240" w:lineRule="auto"/>
        <w:jc w:val="center"/>
      </w:pPr>
      <w:r>
        <w:rPr>
          <w:rFonts w:ascii="Arial" w:hAnsi="Arial" w:cs="Arial"/>
          <w:b/>
          <w:sz w:val="24"/>
        </w:rPr>
        <w:t>3. DO PLANEJAMENTO PRÉVIO</w:t>
      </w:r>
    </w:p>
    <w:p w14:paraId="2813BC9F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Enquanto não for elaborado ou finalizado o Plano Anual de Contratações do município, adota-se a seguinte justificativa:</w:t>
      </w:r>
    </w:p>
    <w:p w14:paraId="1837E1A0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Autorização Legislativa:</w:t>
      </w:r>
      <w:r>
        <w:rPr>
          <w:rFonts w:ascii="Arial" w:hAnsi="Arial" w:cs="Arial"/>
          <w:sz w:val="24"/>
        </w:rPr>
        <w:t xml:space="preserve"> A contratação encontra-se formalmente alinhada com o planejamento estratégico do município, estando expressamente autorizada pela Lei Municipal nº 2.756, de 26 de junho de 2026.</w:t>
      </w:r>
    </w:p>
    <w:p w14:paraId="32D78401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Regência Normativa:</w:t>
      </w:r>
      <w:r>
        <w:rPr>
          <w:rFonts w:ascii="Arial" w:hAnsi="Arial" w:cs="Arial"/>
          <w:sz w:val="24"/>
        </w:rPr>
        <w:t xml:space="preserve"> O processo seguirá os ditames de governança, publicidade e eficiência previstos na Lei Federal nº 14.133/2021, no que couber à espécie de outorga de uso de bem público.</w:t>
      </w:r>
    </w:p>
    <w:p w14:paraId="10EFDBC7" w14:textId="77777777" w:rsidR="006E6E2A" w:rsidRDefault="00D25234">
      <w:pPr>
        <w:shd w:val="clear" w:color="auto" w:fill="BFBFBF"/>
        <w:spacing w:before="200" w:after="120" w:line="240" w:lineRule="auto"/>
        <w:jc w:val="center"/>
      </w:pPr>
      <w:r>
        <w:rPr>
          <w:rFonts w:ascii="Arial" w:hAnsi="Arial" w:cs="Arial"/>
          <w:b/>
          <w:sz w:val="24"/>
        </w:rPr>
        <w:t>4. DOS REQUISITOS DA CONTRATAÇÃO</w:t>
      </w:r>
    </w:p>
    <w:p w14:paraId="5CCF2AB9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Para a adequada solução das necessidades administrativas pontuadas preliminarmente, a outorga pretendida deverá atender aos seguintes requisitos mínimos, indispensáveis para permitir a seleção da proposta mais vantajosa:</w:t>
      </w:r>
    </w:p>
    <w:p w14:paraId="12A6D559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Destinação Comercial Exclusiva:</w:t>
      </w:r>
      <w:r>
        <w:rPr>
          <w:rFonts w:ascii="Arial" w:hAnsi="Arial" w:cs="Arial"/>
          <w:sz w:val="24"/>
        </w:rPr>
        <w:t xml:space="preserve"> O espaço destina-se única e exclusivamente à instalação e exploração comercial de uma lanchonete e serviços de alimentação.</w:t>
      </w:r>
    </w:p>
    <w:p w14:paraId="25537E84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Vedação de Desvios:</w:t>
      </w:r>
      <w:r>
        <w:rPr>
          <w:rFonts w:ascii="Arial" w:hAnsi="Arial" w:cs="Arial"/>
          <w:sz w:val="24"/>
        </w:rPr>
        <w:t xml:space="preserve"> Fica expressamente vedada qualquer outra destinação ou desvio de finalidade sem prévia e expressa autorização por escrito do município.</w:t>
      </w:r>
    </w:p>
    <w:p w14:paraId="0F2956DD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Encargos do Concessionário:</w:t>
      </w:r>
      <w:r>
        <w:rPr>
          <w:rFonts w:ascii="Arial" w:hAnsi="Arial" w:cs="Arial"/>
          <w:sz w:val="24"/>
        </w:rPr>
        <w:t xml:space="preserve"> O vencedor do certame será o único responsável, por sua conta e risco, pela obtenção de alvarás, licenças e pelo cumprimento das normas sanitárias, ambientais, de segurança e posturas municipais.</w:t>
      </w:r>
    </w:p>
    <w:p w14:paraId="3FF605A5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Proibição de Subcontratação:</w:t>
      </w:r>
      <w:r>
        <w:rPr>
          <w:rFonts w:ascii="Arial" w:hAnsi="Arial" w:cs="Arial"/>
          <w:sz w:val="24"/>
        </w:rPr>
        <w:t xml:space="preserve"> É proibida a transferência, cessão, sublocação ou empréstimo do espaço a terceiros, no todo ou em parte, sem anuência prévia e expressa do Poder Executivo.</w:t>
      </w:r>
    </w:p>
    <w:p w14:paraId="5C436EF8" w14:textId="77777777" w:rsidR="006E6E2A" w:rsidRDefault="00D25234">
      <w:pPr>
        <w:shd w:val="clear" w:color="auto" w:fill="BFBFBF"/>
        <w:spacing w:before="200" w:after="120" w:line="240" w:lineRule="auto"/>
        <w:jc w:val="center"/>
      </w:pPr>
      <w:r>
        <w:rPr>
          <w:rFonts w:ascii="Arial" w:hAnsi="Arial" w:cs="Arial"/>
          <w:b/>
          <w:sz w:val="24"/>
        </w:rPr>
        <w:t>5. QUANTIDADES ESTIMADAS DA CONTRATAÇÃO</w:t>
      </w:r>
    </w:p>
    <w:p w14:paraId="22050CBE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 xml:space="preserve">Em atendimento ao que estabelece o artigo 10, inciso IV, do Decreto Municipal nº 007/2024, ressalta-se que o objeto da presente contratação corresponde a uma unidade imobiliária certa e determinada, não comportando fracionamento em quantidades. A delimitação física do objeto ampara-se estritamente nas medições oficiais do projeto "As Built" e no Laudo </w:t>
      </w:r>
      <w:r>
        <w:rPr>
          <w:rFonts w:ascii="Arial" w:hAnsi="Arial" w:cs="Arial"/>
          <w:sz w:val="24"/>
        </w:rPr>
        <w:lastRenderedPageBreak/>
        <w:t>Técnico homologado pelo Departamento de Obras em 31 de março de 2026, registrado no Livro nº 41, fls. 245/252:</w:t>
      </w:r>
    </w:p>
    <w:p w14:paraId="36C69709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Área Construída Privativa (Lanchonete/Cozinha):</w:t>
      </w:r>
      <w:r>
        <w:rPr>
          <w:rFonts w:ascii="Arial" w:hAnsi="Arial" w:cs="Arial"/>
          <w:sz w:val="24"/>
        </w:rPr>
        <w:t xml:space="preserve"> 17,02 m².</w:t>
      </w:r>
    </w:p>
    <w:p w14:paraId="7B9D0F14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Área Coberta de Uso Comum (Circulação):</w:t>
      </w:r>
      <w:r>
        <w:rPr>
          <w:rFonts w:ascii="Arial" w:hAnsi="Arial" w:cs="Arial"/>
          <w:sz w:val="24"/>
        </w:rPr>
        <w:t xml:space="preserve"> 28 m².</w:t>
      </w:r>
    </w:p>
    <w:p w14:paraId="53587829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Identificação Imobiliária:</w:t>
      </w:r>
      <w:r>
        <w:rPr>
          <w:rFonts w:ascii="Arial" w:hAnsi="Arial" w:cs="Arial"/>
          <w:sz w:val="24"/>
        </w:rPr>
        <w:t xml:space="preserve"> Lote 05, Quadra 215, Cadastro Municipal (C.M.) nº 87931-0.</w:t>
      </w:r>
    </w:p>
    <w:p w14:paraId="0406AD84" w14:textId="77777777" w:rsidR="006E6E2A" w:rsidRDefault="00D25234">
      <w:pPr>
        <w:shd w:val="clear" w:color="auto" w:fill="BFBFBF"/>
        <w:spacing w:before="200" w:after="120" w:line="240" w:lineRule="auto"/>
        <w:jc w:val="center"/>
      </w:pPr>
      <w:r>
        <w:rPr>
          <w:rFonts w:ascii="Arial" w:hAnsi="Arial" w:cs="Arial"/>
          <w:b/>
          <w:sz w:val="24"/>
        </w:rPr>
        <w:t>6. LEVANTAMENTO DE MERCADO</w:t>
      </w:r>
    </w:p>
    <w:p w14:paraId="0F3B54A8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Dentre as possíveis soluções de mercado para a satisfação da necessidade identificada, foram consideradas as seguintes alternativas:</w:t>
      </w:r>
    </w:p>
    <w:p w14:paraId="722B713E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Alternativa 1 (Uso Precário ou Exploração Direta):</w:t>
      </w:r>
      <w:r>
        <w:rPr>
          <w:rFonts w:ascii="Arial" w:hAnsi="Arial" w:cs="Arial"/>
          <w:sz w:val="24"/>
        </w:rPr>
        <w:t xml:space="preserve"> A operação direta pela Prefeitura é inviável, pois desvia o foco da administração pública e gera despesas com pessoal para uma atividade de natureza eminentemente comercial.</w:t>
      </w:r>
    </w:p>
    <w:p w14:paraId="07A44AEB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Alternativa 2 (Concessão Onerosa via Licitação – Alternativa Escolhida):</w:t>
      </w:r>
      <w:r>
        <w:rPr>
          <w:rFonts w:ascii="Arial" w:hAnsi="Arial" w:cs="Arial"/>
          <w:sz w:val="24"/>
        </w:rPr>
        <w:t xml:space="preserve"> Em estrito cumprimento ao art. 3º da Lei Municipal nº 2.756/2026, a outorga deve ser precedida de processo licitatório isonômico, sob o critério de maior oferta ou maior retorno econômico, garantindo ampla competitividade e a escolha da proposta mais vantajosa para os cofres públicos.</w:t>
      </w:r>
    </w:p>
    <w:p w14:paraId="44DAC25B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Dada a natureza do objeto e sua destinação, a solução escolhida (concessão de uso onerosa mediante licitação) mostra-se suficiente para atender satisfatoriamente à demanda, possibilitando controle mais efetivo quanto à destinação do bem público.</w:t>
      </w:r>
    </w:p>
    <w:p w14:paraId="175F049D" w14:textId="77777777" w:rsidR="006E6E2A" w:rsidRDefault="00D25234">
      <w:pPr>
        <w:shd w:val="clear" w:color="auto" w:fill="BFBFBF"/>
        <w:spacing w:before="200" w:after="120" w:line="240" w:lineRule="auto"/>
        <w:jc w:val="center"/>
      </w:pPr>
      <w:r>
        <w:rPr>
          <w:rFonts w:ascii="Arial" w:hAnsi="Arial" w:cs="Arial"/>
          <w:b/>
          <w:sz w:val="24"/>
        </w:rPr>
        <w:t>7. ESTIMATIVA DO VALOR DA CONTRATAÇÃO</w:t>
      </w:r>
    </w:p>
    <w:p w14:paraId="3340AF90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Para fins de fixação da remuneração mensal mínima aceitável (lance de partida), a Administração realizou pesquisa mercadológica junto a imobiliárias e corretores credenciados da região, em abril de 2026, cujo resultado é apresentado a seguir: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268"/>
      </w:tblGrid>
      <w:tr w:rsidR="006E6E2A" w14:paraId="260760F9" w14:textId="77777777">
        <w:trPr>
          <w:jc w:val="center"/>
        </w:trPr>
        <w:tc>
          <w:tcPr>
            <w:tcW w:w="2551" w:type="dxa"/>
            <w:shd w:val="clear" w:color="auto" w:fill="D9D9D9"/>
          </w:tcPr>
          <w:p w14:paraId="539BE773" w14:textId="77777777" w:rsidR="006E6E2A" w:rsidRDefault="00D25234">
            <w:pPr>
              <w:jc w:val="center"/>
            </w:pPr>
            <w:r>
              <w:rPr>
                <w:rFonts w:ascii="Arial" w:hAnsi="Arial" w:cs="Arial"/>
                <w:b/>
                <w:sz w:val="21"/>
              </w:rPr>
              <w:t>Avaliador/Imobiliária</w:t>
            </w:r>
          </w:p>
        </w:tc>
        <w:tc>
          <w:tcPr>
            <w:tcW w:w="2551" w:type="dxa"/>
            <w:shd w:val="clear" w:color="auto" w:fill="D9D9D9"/>
          </w:tcPr>
          <w:p w14:paraId="1F0B1333" w14:textId="77777777" w:rsidR="006E6E2A" w:rsidRDefault="00D25234">
            <w:pPr>
              <w:jc w:val="center"/>
            </w:pPr>
            <w:r>
              <w:rPr>
                <w:rFonts w:ascii="Arial" w:hAnsi="Arial" w:cs="Arial"/>
                <w:b/>
                <w:sz w:val="21"/>
              </w:rPr>
              <w:t>Responsável Técnico</w:t>
            </w:r>
          </w:p>
        </w:tc>
        <w:tc>
          <w:tcPr>
            <w:tcW w:w="2551" w:type="dxa"/>
            <w:shd w:val="clear" w:color="auto" w:fill="D9D9D9"/>
          </w:tcPr>
          <w:p w14:paraId="06EC5F00" w14:textId="77777777" w:rsidR="006E6E2A" w:rsidRDefault="00D25234">
            <w:pPr>
              <w:jc w:val="center"/>
            </w:pPr>
            <w:r>
              <w:rPr>
                <w:rFonts w:ascii="Arial" w:hAnsi="Arial" w:cs="Arial"/>
                <w:b/>
                <w:sz w:val="21"/>
              </w:rPr>
              <w:t>Registro Profissional</w:t>
            </w:r>
          </w:p>
        </w:tc>
        <w:tc>
          <w:tcPr>
            <w:tcW w:w="2268" w:type="dxa"/>
            <w:shd w:val="clear" w:color="auto" w:fill="D9D9D9"/>
          </w:tcPr>
          <w:p w14:paraId="350543D0" w14:textId="77777777" w:rsidR="006E6E2A" w:rsidRDefault="00D25234">
            <w:pPr>
              <w:jc w:val="center"/>
            </w:pPr>
            <w:r>
              <w:rPr>
                <w:rFonts w:ascii="Arial" w:hAnsi="Arial" w:cs="Arial"/>
                <w:b/>
                <w:sz w:val="21"/>
              </w:rPr>
              <w:t>Valor Mensal Apurado</w:t>
            </w:r>
          </w:p>
        </w:tc>
      </w:tr>
      <w:tr w:rsidR="006E6E2A" w14:paraId="2F6815A8" w14:textId="77777777">
        <w:trPr>
          <w:jc w:val="center"/>
        </w:trPr>
        <w:tc>
          <w:tcPr>
            <w:tcW w:w="2551" w:type="dxa"/>
          </w:tcPr>
          <w:p w14:paraId="04200534" w14:textId="77777777" w:rsidR="006E6E2A" w:rsidRDefault="00D25234">
            <w:r>
              <w:rPr>
                <w:rFonts w:ascii="Arial" w:hAnsi="Arial" w:cs="Arial"/>
                <w:sz w:val="21"/>
              </w:rPr>
              <w:t>Guerreiro Imóveis</w:t>
            </w:r>
          </w:p>
        </w:tc>
        <w:tc>
          <w:tcPr>
            <w:tcW w:w="2551" w:type="dxa"/>
          </w:tcPr>
          <w:p w14:paraId="5B746013" w14:textId="77777777" w:rsidR="006E6E2A" w:rsidRDefault="00D25234">
            <w:r>
              <w:rPr>
                <w:rFonts w:ascii="Arial" w:hAnsi="Arial" w:cs="Arial"/>
                <w:sz w:val="21"/>
              </w:rPr>
              <w:t>Roberto Amatti</w:t>
            </w:r>
          </w:p>
        </w:tc>
        <w:tc>
          <w:tcPr>
            <w:tcW w:w="2551" w:type="dxa"/>
          </w:tcPr>
          <w:p w14:paraId="1A969DFC" w14:textId="77777777" w:rsidR="006E6E2A" w:rsidRDefault="00D25234">
            <w:r>
              <w:rPr>
                <w:rFonts w:ascii="Arial" w:hAnsi="Arial" w:cs="Arial"/>
                <w:sz w:val="21"/>
              </w:rPr>
              <w:t>CRECISP 173010</w:t>
            </w:r>
          </w:p>
        </w:tc>
        <w:tc>
          <w:tcPr>
            <w:tcW w:w="2268" w:type="dxa"/>
          </w:tcPr>
          <w:p w14:paraId="1F37814C" w14:textId="77777777" w:rsidR="006E6E2A" w:rsidRDefault="00D25234">
            <w:r>
              <w:rPr>
                <w:rFonts w:ascii="Arial" w:hAnsi="Arial" w:cs="Arial"/>
                <w:sz w:val="21"/>
              </w:rPr>
              <w:t>R$ 400,00</w:t>
            </w:r>
          </w:p>
        </w:tc>
      </w:tr>
      <w:tr w:rsidR="006E6E2A" w14:paraId="47C22B88" w14:textId="77777777">
        <w:trPr>
          <w:jc w:val="center"/>
        </w:trPr>
        <w:tc>
          <w:tcPr>
            <w:tcW w:w="2551" w:type="dxa"/>
          </w:tcPr>
          <w:p w14:paraId="471387BA" w14:textId="77777777" w:rsidR="006E6E2A" w:rsidRDefault="00D25234">
            <w:r>
              <w:rPr>
                <w:rFonts w:ascii="Arial" w:hAnsi="Arial" w:cs="Arial"/>
                <w:sz w:val="21"/>
              </w:rPr>
              <w:t>ICTUS Consultoria Imobiliária</w:t>
            </w:r>
          </w:p>
        </w:tc>
        <w:tc>
          <w:tcPr>
            <w:tcW w:w="2551" w:type="dxa"/>
          </w:tcPr>
          <w:p w14:paraId="534ABF2A" w14:textId="77777777" w:rsidR="006E6E2A" w:rsidRDefault="00D25234">
            <w:r>
              <w:rPr>
                <w:rFonts w:ascii="Arial" w:hAnsi="Arial" w:cs="Arial"/>
                <w:sz w:val="21"/>
              </w:rPr>
              <w:t>Marlene Gonçalves Felix</w:t>
            </w:r>
          </w:p>
        </w:tc>
        <w:tc>
          <w:tcPr>
            <w:tcW w:w="2551" w:type="dxa"/>
          </w:tcPr>
          <w:p w14:paraId="75948ADE" w14:textId="77777777" w:rsidR="006E6E2A" w:rsidRDefault="00D25234">
            <w:r>
              <w:rPr>
                <w:rFonts w:ascii="Arial" w:hAnsi="Arial" w:cs="Arial"/>
                <w:sz w:val="21"/>
              </w:rPr>
              <w:t>CRECI 47.250 J / 67.126</w:t>
            </w:r>
          </w:p>
        </w:tc>
        <w:tc>
          <w:tcPr>
            <w:tcW w:w="2268" w:type="dxa"/>
          </w:tcPr>
          <w:p w14:paraId="5EA053F8" w14:textId="77777777" w:rsidR="006E6E2A" w:rsidRDefault="00D25234">
            <w:r>
              <w:rPr>
                <w:rFonts w:ascii="Arial" w:hAnsi="Arial" w:cs="Arial"/>
                <w:sz w:val="21"/>
              </w:rPr>
              <w:t>R$ 350,00</w:t>
            </w:r>
          </w:p>
        </w:tc>
      </w:tr>
      <w:tr w:rsidR="006E6E2A" w14:paraId="728FB968" w14:textId="77777777">
        <w:trPr>
          <w:jc w:val="center"/>
        </w:trPr>
        <w:tc>
          <w:tcPr>
            <w:tcW w:w="2551" w:type="dxa"/>
          </w:tcPr>
          <w:p w14:paraId="7F0CE375" w14:textId="77777777" w:rsidR="006E6E2A" w:rsidRDefault="00D25234">
            <w:r>
              <w:rPr>
                <w:rFonts w:ascii="Arial" w:hAnsi="Arial" w:cs="Arial"/>
                <w:sz w:val="21"/>
              </w:rPr>
              <w:t>Avaliação Autônoma</w:t>
            </w:r>
          </w:p>
        </w:tc>
        <w:tc>
          <w:tcPr>
            <w:tcW w:w="2551" w:type="dxa"/>
          </w:tcPr>
          <w:p w14:paraId="2C7F04A7" w14:textId="77777777" w:rsidR="006E6E2A" w:rsidRDefault="00D25234">
            <w:r>
              <w:rPr>
                <w:rFonts w:ascii="Arial" w:hAnsi="Arial" w:cs="Arial"/>
                <w:sz w:val="21"/>
              </w:rPr>
              <w:t>Gláucia Azevedo Bittencourt</w:t>
            </w:r>
          </w:p>
        </w:tc>
        <w:tc>
          <w:tcPr>
            <w:tcW w:w="2551" w:type="dxa"/>
          </w:tcPr>
          <w:p w14:paraId="1FE24BF8" w14:textId="77777777" w:rsidR="006E6E2A" w:rsidRDefault="00D25234">
            <w:r>
              <w:rPr>
                <w:rFonts w:ascii="Arial" w:hAnsi="Arial" w:cs="Arial"/>
                <w:sz w:val="21"/>
              </w:rPr>
              <w:t>CRECISP 165858</w:t>
            </w:r>
          </w:p>
        </w:tc>
        <w:tc>
          <w:tcPr>
            <w:tcW w:w="2268" w:type="dxa"/>
          </w:tcPr>
          <w:p w14:paraId="47891FA4" w14:textId="77777777" w:rsidR="006E6E2A" w:rsidRDefault="00D25234">
            <w:r>
              <w:rPr>
                <w:rFonts w:ascii="Arial" w:hAnsi="Arial" w:cs="Arial"/>
                <w:sz w:val="21"/>
              </w:rPr>
              <w:t>R$ 350,00</w:t>
            </w:r>
          </w:p>
        </w:tc>
      </w:tr>
    </w:tbl>
    <w:p w14:paraId="0EC8BB07" w14:textId="77777777" w:rsidR="006E6E2A" w:rsidRDefault="006E6E2A">
      <w:pPr>
        <w:spacing w:after="40"/>
      </w:pPr>
    </w:p>
    <w:p w14:paraId="45BBB2EA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lastRenderedPageBreak/>
        <w:t xml:space="preserve">•  </w:t>
      </w:r>
      <w:r>
        <w:rPr>
          <w:rFonts w:ascii="Arial" w:hAnsi="Arial" w:cs="Arial"/>
          <w:b/>
          <w:sz w:val="24"/>
        </w:rPr>
        <w:t>Preço Mínimo de Partida:</w:t>
      </w:r>
      <w:r>
        <w:rPr>
          <w:rFonts w:ascii="Arial" w:hAnsi="Arial" w:cs="Arial"/>
          <w:sz w:val="24"/>
        </w:rPr>
        <w:t xml:space="preserve"> Com base na avaliação da administração e visando preservar o interesse público arrecadatório, adota-se o valor de R$ 400,00 (quatrocentos reais) mensais como lance mínimo inicial do certame.</w:t>
      </w:r>
    </w:p>
    <w:p w14:paraId="4CCB9DC3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Média das Avaliações:</w:t>
      </w:r>
      <w:r>
        <w:rPr>
          <w:rFonts w:ascii="Arial" w:hAnsi="Arial" w:cs="Arial"/>
          <w:sz w:val="24"/>
        </w:rPr>
        <w:t xml:space="preserve"> A média simples das três pesquisas imobiliárias locais é de R$ 366,67 (trezentos e sessenta e seis reais e sessenta e sete centavos).</w:t>
      </w:r>
    </w:p>
    <w:p w14:paraId="3A702B1D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A estimativa de valor mensal encontra-se regularmente registrada na Planilha de Estimativa de Preço Médio constante em anexo, elaborada a partir de pesquisa mercadológica, a qual integra o respectivo Termo de Referência (TR).</w:t>
      </w:r>
    </w:p>
    <w:p w14:paraId="7C32D93D" w14:textId="77777777" w:rsidR="006E6E2A" w:rsidRDefault="00D25234">
      <w:pPr>
        <w:shd w:val="clear" w:color="auto" w:fill="BFBFBF"/>
        <w:spacing w:before="200" w:after="120" w:line="240" w:lineRule="auto"/>
        <w:jc w:val="center"/>
      </w:pPr>
      <w:r>
        <w:rPr>
          <w:rFonts w:ascii="Arial" w:hAnsi="Arial" w:cs="Arial"/>
          <w:b/>
          <w:sz w:val="24"/>
        </w:rPr>
        <w:t>8. DESCRIÇÃO DA SOLUÇÃO COMO UM TODO</w:t>
      </w:r>
    </w:p>
    <w:p w14:paraId="45C4F3F8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O presente estudo refere-se à outorga de concessão de uso onerosa do box comercial descrito e delimitado tecnicamente no Termo de Referência, contemplando a solução como um todo nos seguintes termos:</w:t>
      </w:r>
    </w:p>
    <w:p w14:paraId="2FD03FD8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Prazo Contratual:</w:t>
      </w:r>
      <w:r>
        <w:rPr>
          <w:rFonts w:ascii="Arial" w:hAnsi="Arial" w:cs="Arial"/>
          <w:sz w:val="24"/>
        </w:rPr>
        <w:t xml:space="preserve"> O contrato administrativo terá vigência estável de 5 (cinco) anos, contados da assinatura, permitida uma única prorrogação por igual período, caso demonstrado o interesse público.</w:t>
      </w:r>
    </w:p>
    <w:p w14:paraId="632E17A2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Reajuste Monetário:</w:t>
      </w:r>
      <w:r>
        <w:rPr>
          <w:rFonts w:ascii="Arial" w:hAnsi="Arial" w:cs="Arial"/>
          <w:sz w:val="24"/>
        </w:rPr>
        <w:t xml:space="preserve"> O valor da outorga sofrerá reajuste automático a cada 12 (doze) meses, com base na variação acumulada do IPCA (IBGE). Em cenários de deflação, o valor nominal permanecerá inalterado.</w:t>
      </w:r>
    </w:p>
    <w:p w14:paraId="7A4D9DB4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Sustentabilidade ("Ibirarema Cuidando do Meio Ambiente"):</w:t>
      </w:r>
      <w:r>
        <w:rPr>
          <w:rFonts w:ascii="Arial" w:hAnsi="Arial" w:cs="Arial"/>
          <w:sz w:val="24"/>
        </w:rPr>
        <w:t xml:space="preserve"> O concessionário deverá adotar práticas de destinação adequada de resíduos e embalagens, em alinhamento com a diretriz ambiental do município.</w:t>
      </w:r>
    </w:p>
    <w:p w14:paraId="0EA80C43" w14:textId="77777777" w:rsidR="006E6E2A" w:rsidRDefault="00D25234">
      <w:pPr>
        <w:shd w:val="clear" w:color="auto" w:fill="BFBFBF"/>
        <w:spacing w:before="200" w:after="120" w:line="240" w:lineRule="auto"/>
        <w:jc w:val="center"/>
      </w:pPr>
      <w:r>
        <w:rPr>
          <w:rFonts w:ascii="Arial" w:hAnsi="Arial" w:cs="Arial"/>
          <w:b/>
          <w:sz w:val="24"/>
        </w:rPr>
        <w:t>9. JUSTIFICATIVAS PARA O PARCELAMENTO OU NÃO DA SOLUÇÃO</w:t>
      </w:r>
    </w:p>
    <w:p w14:paraId="5FEB2235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Aquisições/contratações não passíveis de parcelamento:</w:t>
      </w:r>
    </w:p>
    <w:p w14:paraId="5A8C2A1D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O objeto constitui-se de uma unidade imobiliária comercial única e indivisível (box de aproximadamente 17 m²) integrada à infraestrutura do Terminal Rodoviário. O fracionamento físico da área é tecnicamente impossível e inviabilizaria a operação comercial, razão pela qual se sugere o não parcelamento do objeto.</w:t>
      </w:r>
    </w:p>
    <w:p w14:paraId="4E3872BA" w14:textId="77777777" w:rsidR="006E6E2A" w:rsidRDefault="00D25234">
      <w:pPr>
        <w:shd w:val="clear" w:color="auto" w:fill="BFBFBF"/>
        <w:spacing w:before="200" w:after="120" w:line="240" w:lineRule="auto"/>
        <w:jc w:val="center"/>
      </w:pPr>
      <w:r>
        <w:rPr>
          <w:rFonts w:ascii="Arial" w:hAnsi="Arial" w:cs="Arial"/>
          <w:b/>
          <w:sz w:val="24"/>
        </w:rPr>
        <w:t>10. DOS RESULTADOS PRETENDIDOS</w:t>
      </w:r>
    </w:p>
    <w:p w14:paraId="66961B64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b/>
          <w:sz w:val="24"/>
        </w:rPr>
        <w:t>Arrecadação:</w:t>
      </w:r>
      <w:r>
        <w:rPr>
          <w:rFonts w:ascii="Arial" w:hAnsi="Arial" w:cs="Arial"/>
          <w:sz w:val="24"/>
        </w:rPr>
        <w:t xml:space="preserve"> Atração de receitas não tributárias ao erário municipal por meio de lances iguais ou superiores a R$ 400,00 mensais.</w:t>
      </w:r>
    </w:p>
    <w:p w14:paraId="27A5B2A8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lastRenderedPageBreak/>
        <w:t xml:space="preserve">•  </w:t>
      </w:r>
      <w:r>
        <w:rPr>
          <w:rFonts w:ascii="Arial" w:hAnsi="Arial" w:cs="Arial"/>
          <w:b/>
          <w:sz w:val="24"/>
        </w:rPr>
        <w:t>Manutenção:</w:t>
      </w:r>
      <w:r>
        <w:rPr>
          <w:rFonts w:ascii="Arial" w:hAnsi="Arial" w:cs="Arial"/>
          <w:sz w:val="24"/>
        </w:rPr>
        <w:t xml:space="preserve"> Transferência integral ao parceiro privado da obrigação de conservação, pintura, limpeza e pagamento de tarifas de consumo (água, luz, internet) do box.</w:t>
      </w:r>
    </w:p>
    <w:p w14:paraId="1AC39D04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Pretende-se, ainda, a continuidade e a qualificação dos serviços públicos de apoio ao usuário do transporte coletivo, exigindo-se do concessionário o atendimento aos requisitos de economicidade, eficácia, eficiência e melhor aproveitamento do patrimônio público municipal.</w:t>
      </w:r>
    </w:p>
    <w:p w14:paraId="5D6B6EF4" w14:textId="77777777" w:rsidR="006E6E2A" w:rsidRDefault="00D25234">
      <w:pPr>
        <w:shd w:val="clear" w:color="auto" w:fill="BFBFBF"/>
        <w:spacing w:before="200" w:after="120" w:line="240" w:lineRule="auto"/>
        <w:jc w:val="center"/>
      </w:pPr>
      <w:r>
        <w:rPr>
          <w:rFonts w:ascii="Arial" w:hAnsi="Arial" w:cs="Arial"/>
          <w:b/>
          <w:sz w:val="24"/>
        </w:rPr>
        <w:t>11. PROVIDÊNCIAS A SEREM ADOTADAS PELA ADMINISTRAÇÃO</w:t>
      </w:r>
    </w:p>
    <w:p w14:paraId="7D8C71EF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sz w:val="24"/>
        </w:rPr>
        <w:t>Publicação do edital da Concorrência Pública no Diário Oficial e no sítio institucional do Município.</w:t>
      </w:r>
    </w:p>
    <w:p w14:paraId="0FFBE23A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>•  Exigência de vistoria técnica prévia por parte dos licitantes interessados, para conhecimento das instalações hidráulicas e elétricas internas da lanchonete.</w:t>
      </w:r>
    </w:p>
    <w:p w14:paraId="4D227D0C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A presente contratação requer, ainda, o acompanhamento de profissional qualificado para analisar, fiscalizar e formalizar o recebimento do imóvel, de forma a verificar o cumprimento de todas as condições estabelecidas neste estudo e no respectivo Termo de Referência.</w:t>
      </w:r>
    </w:p>
    <w:p w14:paraId="3F24151E" w14:textId="77777777" w:rsidR="006E6E2A" w:rsidRDefault="00D25234">
      <w:pPr>
        <w:shd w:val="clear" w:color="auto" w:fill="BFBFBF"/>
        <w:spacing w:before="200" w:after="120" w:line="240" w:lineRule="auto"/>
        <w:jc w:val="center"/>
      </w:pPr>
      <w:r>
        <w:rPr>
          <w:rFonts w:ascii="Arial" w:hAnsi="Arial" w:cs="Arial"/>
          <w:b/>
          <w:sz w:val="24"/>
        </w:rPr>
        <w:t>12. CONTRATAÇÕES CORRELATAS OU INTERDEPENDENTES</w:t>
      </w:r>
    </w:p>
    <w:p w14:paraId="664AFEFB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Diante do levantamento das necessidades da contratação, acompanhado dos demais elementos que consolidam o presente Estudo Técnico Preliminar, e analisada a solução como um todo, não se faz necessária a realização de contratações correlatas ou interdependentes para a viabilidade da presente outorga, uma vez que a manutenção estrutural externa da rodoviária e da área coberta de circulação (28 m²) já corre rotineiramente sob responsabilidade do próprio município.</w:t>
      </w:r>
    </w:p>
    <w:p w14:paraId="6624D047" w14:textId="77777777" w:rsidR="006E6E2A" w:rsidRDefault="00D25234">
      <w:pPr>
        <w:shd w:val="clear" w:color="auto" w:fill="BFBFBF"/>
        <w:spacing w:before="200" w:after="120" w:line="240" w:lineRule="auto"/>
        <w:jc w:val="center"/>
      </w:pPr>
      <w:r>
        <w:rPr>
          <w:rFonts w:ascii="Arial" w:hAnsi="Arial" w:cs="Arial"/>
          <w:b/>
          <w:sz w:val="24"/>
        </w:rPr>
        <w:t>13. DIRETRIZES PARA O GERENCIAMENTO DE RISCOS (MATRIZ DE RESCISÃO)</w:t>
      </w:r>
    </w:p>
    <w:p w14:paraId="2D571F9E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Em observância ao art. 8º da Lei Municipal nº 2.756/2026, o contrato administrativo preverá a rescisão de pleno direito, sem direito a indenizações, nos seguintes eventos de risco fiscal e operacional:</w:t>
      </w:r>
    </w:p>
    <w:p w14:paraId="0264B27D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>•  I – Desvio de finalidade constatado na utilização do box comercial;</w:t>
      </w:r>
    </w:p>
    <w:p w14:paraId="6C2020D3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>•  II – Inadimplência do pagamento da outorga mensal por prazo superior a 90 (noventa) dias;</w:t>
      </w:r>
    </w:p>
    <w:p w14:paraId="2798406F" w14:textId="77777777" w:rsidR="006E6E2A" w:rsidRDefault="00D25234">
      <w:pPr>
        <w:spacing w:after="120" w:line="360" w:lineRule="auto"/>
        <w:ind w:left="510" w:hanging="255"/>
        <w:jc w:val="both"/>
      </w:pPr>
      <w:r>
        <w:rPr>
          <w:rFonts w:ascii="Arial" w:hAnsi="Arial" w:cs="Arial"/>
          <w:sz w:val="24"/>
        </w:rPr>
        <w:t xml:space="preserve">•  </w:t>
      </w:r>
      <w:r>
        <w:rPr>
          <w:rFonts w:ascii="Arial" w:hAnsi="Arial" w:cs="Arial"/>
          <w:sz w:val="24"/>
        </w:rPr>
        <w:t>III – Descumprimento reiterado de normas sanitárias, contratuais, legais ou de posturas do município.</w:t>
      </w:r>
    </w:p>
    <w:p w14:paraId="16EC9D98" w14:textId="77777777" w:rsidR="006E6E2A" w:rsidRDefault="00D25234">
      <w:pPr>
        <w:shd w:val="clear" w:color="auto" w:fill="BFBFBF"/>
        <w:spacing w:before="200" w:after="120" w:line="240" w:lineRule="auto"/>
        <w:jc w:val="center"/>
      </w:pPr>
      <w:r>
        <w:rPr>
          <w:rFonts w:ascii="Arial" w:hAnsi="Arial" w:cs="Arial"/>
          <w:b/>
          <w:sz w:val="24"/>
        </w:rPr>
        <w:lastRenderedPageBreak/>
        <w:t>14. POSSÍVEIS IMPACTOS AMBIENTAIS</w:t>
      </w:r>
    </w:p>
    <w:p w14:paraId="0E669DB3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Com o objetivo de atender a preceitos legais e constitucionais que exigem do Poder Público, a partir de competência concorrente entre União, Estados, Municípios e Distrito Federal, a proteção, manutenção e preservação do meio ambiente, a presente contratação deve observar critérios de sustentabilidade, cabendo ao concessionário, nos termos da diretriz municipal "Ibirarema Cuidando do Meio Ambiente", a adoção de práticas de destinação adequada de resíduos e embalagens.</w:t>
      </w:r>
    </w:p>
    <w:p w14:paraId="11BC8877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Não obstante o dever intrínseco de atuação sustentável imposto ao concessionário, a presente contratação, por não envolver execução de obras, uso de insumos poluentes ou alteração da estrutura física do imóvel além da já existente, não apresenta impactos ambientais significativos.</w:t>
      </w:r>
    </w:p>
    <w:p w14:paraId="08CBE5B2" w14:textId="77777777" w:rsidR="006E6E2A" w:rsidRDefault="00D25234">
      <w:pPr>
        <w:shd w:val="clear" w:color="auto" w:fill="BFBFBF"/>
        <w:spacing w:before="200" w:after="120" w:line="240" w:lineRule="auto"/>
        <w:jc w:val="center"/>
      </w:pPr>
      <w:r>
        <w:rPr>
          <w:rFonts w:ascii="Arial" w:hAnsi="Arial" w:cs="Arial"/>
          <w:b/>
          <w:sz w:val="24"/>
        </w:rPr>
        <w:t>15. POSICIONAMENTO CONCLUSIVO</w:t>
      </w:r>
    </w:p>
    <w:p w14:paraId="11379471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Após percorrer os elementos obrigatórios do Estudo Técnico Preliminar, em atendimento ao Decreto Municipal nº 007/2024, que regulamenta o artigo 18, § 1º, da Lei Federal nº 14.133/2021, a Diretoria de Cultura, Turismo e Comunicação, agente competente para a realização do planejamento da presente contratação, consoante o inciso XIII do art. 8º do decreto municipal mencionado, assim se manifesta sobre a contratação em análise:</w:t>
      </w:r>
    </w:p>
    <w:p w14:paraId="1C465E10" w14:textId="77777777" w:rsidR="006E6E2A" w:rsidRDefault="00D25234">
      <w:pPr>
        <w:spacing w:line="360" w:lineRule="auto"/>
        <w:jc w:val="both"/>
      </w:pPr>
      <w:r>
        <w:rPr>
          <w:rFonts w:ascii="Arial" w:hAnsi="Arial" w:cs="Arial"/>
          <w:sz w:val="24"/>
        </w:rPr>
        <w:t>Diante do amparo técnico conferido pelo laudo "As Built" executado pela engenharia municipal, das avaliações de mercado consolidadas e da expressa autorização legal instituída pela Lei Municipal nº 2.756/2026, declaro que é VIÁVEL a presente contratação, por atender aos requisitos de viabilidade jurídica, técnica e econômica.</w:t>
      </w:r>
    </w:p>
    <w:p w14:paraId="52934954" w14:textId="77777777" w:rsidR="006E6E2A" w:rsidRDefault="00D25234">
      <w:pPr>
        <w:spacing w:before="360" w:after="600"/>
        <w:jc w:val="center"/>
      </w:pPr>
      <w:r>
        <w:rPr>
          <w:rFonts w:ascii="Arial" w:hAnsi="Arial" w:cs="Arial"/>
          <w:sz w:val="24"/>
        </w:rPr>
        <w:t>Ibirarema/SP, 30 de junho de 2026.</w:t>
      </w:r>
    </w:p>
    <w:p w14:paraId="7770FA39" w14:textId="77777777" w:rsidR="006E6E2A" w:rsidRDefault="00D25234">
      <w:pPr>
        <w:spacing w:after="0"/>
        <w:jc w:val="center"/>
      </w:pPr>
      <w:r>
        <w:rPr>
          <w:rFonts w:ascii="Arial" w:hAnsi="Arial" w:cs="Arial"/>
          <w:sz w:val="24"/>
        </w:rPr>
        <w:t>________________________________________</w:t>
      </w:r>
    </w:p>
    <w:p w14:paraId="443C4D53" w14:textId="77777777" w:rsidR="006E6E2A" w:rsidRDefault="00D25234">
      <w:pPr>
        <w:spacing w:after="0"/>
        <w:jc w:val="center"/>
      </w:pPr>
      <w:r>
        <w:rPr>
          <w:rFonts w:ascii="Arial" w:hAnsi="Arial" w:cs="Arial"/>
          <w:b/>
          <w:sz w:val="24"/>
        </w:rPr>
        <w:t>Eloize Ellen Silva de Souza</w:t>
      </w:r>
    </w:p>
    <w:p w14:paraId="586F434A" w14:textId="77777777" w:rsidR="006E6E2A" w:rsidRDefault="00D25234">
      <w:pPr>
        <w:jc w:val="center"/>
      </w:pPr>
      <w:r>
        <w:rPr>
          <w:rFonts w:ascii="Arial" w:hAnsi="Arial" w:cs="Arial"/>
          <w:sz w:val="24"/>
        </w:rPr>
        <w:t>Diretora de Cultura, Turismo e Comunicação</w:t>
      </w:r>
    </w:p>
    <w:sectPr w:rsidR="006E6E2A" w:rsidSect="00D711C2">
      <w:headerReference w:type="even" r:id="rId7"/>
      <w:headerReference w:type="default" r:id="rId8"/>
      <w:footerReference w:type="default" r:id="rId9"/>
      <w:pgSz w:w="11907" w:h="16840" w:code="9"/>
      <w:pgMar w:top="1701" w:right="1134" w:bottom="1134" w:left="1134" w:header="284" w:footer="22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9DFDF" w14:textId="77777777" w:rsidR="00D25234" w:rsidRDefault="00D25234" w:rsidP="00247CD1">
      <w:pPr>
        <w:spacing w:after="0" w:line="240" w:lineRule="auto"/>
      </w:pPr>
      <w:r>
        <w:separator/>
      </w:r>
    </w:p>
  </w:endnote>
  <w:endnote w:type="continuationSeparator" w:id="0">
    <w:p w14:paraId="7E7FBBF7" w14:textId="77777777" w:rsidR="00D25234" w:rsidRDefault="00D25234" w:rsidP="00247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1A868" w14:textId="77777777" w:rsidR="00247CD1" w:rsidRDefault="00247CD1" w:rsidP="00247CD1">
    <w:pPr>
      <w:spacing w:after="0" w:line="360" w:lineRule="auto"/>
      <w:jc w:val="center"/>
      <w:rPr>
        <w:rFonts w:ascii="Century Gothic" w:hAnsi="Century Gothic" w:cs="Arial"/>
        <w:b/>
        <w:sz w:val="16"/>
        <w:szCs w:val="16"/>
      </w:rPr>
    </w:pPr>
    <w:bookmarkStart w:id="0" w:name="_Hlk182223789"/>
    <w:bookmarkStart w:id="1" w:name="_Hlk182223790"/>
    <w:bookmarkStart w:id="2" w:name="_Hlk182223791"/>
    <w:bookmarkStart w:id="3" w:name="_Hlk182223792"/>
  </w:p>
  <w:p w14:paraId="758651A1" w14:textId="77777777" w:rsidR="00247CD1" w:rsidRPr="009C6CC0" w:rsidRDefault="00247CD1" w:rsidP="00247CD1">
    <w:pPr>
      <w:spacing w:after="0" w:line="276" w:lineRule="auto"/>
      <w:jc w:val="center"/>
      <w:rPr>
        <w:rFonts w:ascii="Century Gothic" w:hAnsi="Century Gothic" w:cs="Arial"/>
        <w:b/>
        <w:sz w:val="16"/>
        <w:szCs w:val="16"/>
      </w:rPr>
    </w:pPr>
    <w:r w:rsidRPr="009C6CC0">
      <w:rPr>
        <w:rFonts w:ascii="Century Gothic" w:hAnsi="Century Gothic" w:cs="Arial"/>
        <w:b/>
        <w:sz w:val="16"/>
        <w:szCs w:val="16"/>
      </w:rPr>
      <w:t>MIT | MUNICÍPIO DE INTERESSE TURÍSTICO DE IBIRAREMA – TERRA DA LINGUIÇA</w:t>
    </w:r>
  </w:p>
  <w:p w14:paraId="3CF68201" w14:textId="77777777" w:rsidR="00247CD1" w:rsidRPr="009C6CC0" w:rsidRDefault="00247CD1" w:rsidP="00247CD1">
    <w:pPr>
      <w:spacing w:after="0" w:line="276" w:lineRule="auto"/>
      <w:jc w:val="center"/>
      <w:rPr>
        <w:rFonts w:ascii="Century Gothic" w:hAnsi="Century Gothic" w:cs="Arial"/>
        <w:sz w:val="14"/>
        <w:szCs w:val="16"/>
      </w:rPr>
    </w:pPr>
    <w:r w:rsidRPr="009C6CC0">
      <w:rPr>
        <w:rFonts w:ascii="Century Gothic" w:hAnsi="Century Gothic" w:cs="Arial"/>
        <w:sz w:val="14"/>
        <w:szCs w:val="16"/>
      </w:rPr>
      <w:t>“PAPEL RECICLADO: IBIRAREMA CUIDANDO DO MEIO AMBIENTE”</w:t>
    </w:r>
    <w:bookmarkEnd w:id="0"/>
    <w:bookmarkEnd w:id="1"/>
    <w:bookmarkEnd w:id="2"/>
    <w:bookmarkEnd w:id="3"/>
  </w:p>
  <w:p w14:paraId="57E62539" w14:textId="77777777" w:rsidR="00D25234" w:rsidRDefault="00D25234">
    <w:pPr>
      <w:pStyle w:val="Rodap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000D9" w14:textId="77777777" w:rsidR="00D25234" w:rsidRDefault="00D25234" w:rsidP="00247CD1">
      <w:pPr>
        <w:spacing w:after="0" w:line="240" w:lineRule="auto"/>
      </w:pPr>
      <w:r>
        <w:separator/>
      </w:r>
    </w:p>
  </w:footnote>
  <w:footnote w:type="continuationSeparator" w:id="0">
    <w:p w14:paraId="1CAACB9C" w14:textId="77777777" w:rsidR="00D25234" w:rsidRDefault="00D25234" w:rsidP="00247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A430B" w14:textId="77777777" w:rsidR="00D25234" w:rsidRDefault="00F15D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516AC154" w14:textId="77777777" w:rsidR="00D25234" w:rsidRDefault="00D2523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8246" w14:textId="77777777" w:rsidR="00247CD1" w:rsidRPr="00316155" w:rsidRDefault="00247CD1" w:rsidP="00522C4D">
    <w:pPr>
      <w:spacing w:after="0" w:line="360" w:lineRule="auto"/>
      <w:jc w:val="center"/>
      <w:rPr>
        <w:rFonts w:ascii="Corbel" w:hAnsi="Corbel"/>
        <w:szCs w:val="26"/>
      </w:rPr>
    </w:pPr>
    <w:r w:rsidRPr="00316155">
      <w:rPr>
        <w:rFonts w:ascii="Corbel" w:hAnsi="Corbel"/>
        <w:noProof/>
        <w:szCs w:val="26"/>
      </w:rPr>
      <w:drawing>
        <wp:anchor distT="0" distB="0" distL="114300" distR="114300" simplePos="0" relativeHeight="251660288" behindDoc="1" locked="0" layoutInCell="1" allowOverlap="1" wp14:anchorId="2F69B6E9" wp14:editId="059AE27D">
          <wp:simplePos x="0" y="0"/>
          <wp:positionH relativeFrom="margin">
            <wp:posOffset>5543550</wp:posOffset>
          </wp:positionH>
          <wp:positionV relativeFrom="paragraph">
            <wp:posOffset>107315</wp:posOffset>
          </wp:positionV>
          <wp:extent cx="808990" cy="575945"/>
          <wp:effectExtent l="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ds-aberto-m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9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6155">
      <w:rPr>
        <w:rFonts w:ascii="Corbel" w:hAnsi="Corbel"/>
        <w:noProof/>
        <w:szCs w:val="26"/>
      </w:rPr>
      <w:drawing>
        <wp:anchor distT="0" distB="0" distL="114300" distR="114300" simplePos="0" relativeHeight="251661312" behindDoc="1" locked="0" layoutInCell="1" allowOverlap="1" wp14:anchorId="21EF80B9" wp14:editId="7C29EC3B">
          <wp:simplePos x="0" y="0"/>
          <wp:positionH relativeFrom="margin">
            <wp:posOffset>4865370</wp:posOffset>
          </wp:positionH>
          <wp:positionV relativeFrom="paragraph">
            <wp:posOffset>114935</wp:posOffset>
          </wp:positionV>
          <wp:extent cx="665480" cy="575945"/>
          <wp:effectExtent l="0" t="0" r="1270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unicipios Paulistas Resilientes_cor-mi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98" t="13168" r="24547" b="17050"/>
                  <a:stretch/>
                </pic:blipFill>
                <pic:spPr bwMode="auto">
                  <a:xfrm>
                    <a:off x="0" y="0"/>
                    <a:ext cx="665480" cy="575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6155">
      <w:rPr>
        <w:rFonts w:ascii="Corbel" w:hAnsi="Corbel"/>
        <w:noProof/>
        <w:szCs w:val="26"/>
      </w:rPr>
      <w:drawing>
        <wp:anchor distT="0" distB="0" distL="114300" distR="114300" simplePos="0" relativeHeight="251659264" behindDoc="1" locked="0" layoutInCell="1" allowOverlap="1" wp14:anchorId="6F588805" wp14:editId="326719EF">
          <wp:simplePos x="0" y="0"/>
          <wp:positionH relativeFrom="margin">
            <wp:posOffset>-232410</wp:posOffset>
          </wp:positionH>
          <wp:positionV relativeFrom="paragraph">
            <wp:posOffset>8255</wp:posOffset>
          </wp:positionV>
          <wp:extent cx="819150" cy="796290"/>
          <wp:effectExtent l="0" t="0" r="0" b="381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-min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796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6155">
      <w:rPr>
        <w:rFonts w:ascii="Century Gothic" w:hAnsi="Century Gothic"/>
        <w:b/>
        <w:sz w:val="30"/>
        <w:szCs w:val="30"/>
      </w:rPr>
      <w:t>MUNICÍPIO DE IBIRAREMA</w:t>
    </w:r>
  </w:p>
  <w:p w14:paraId="4CEEB396" w14:textId="77777777" w:rsidR="00247CD1" w:rsidRDefault="00247CD1" w:rsidP="00B310E2">
    <w:pPr>
      <w:spacing w:after="0" w:line="360" w:lineRule="auto"/>
      <w:jc w:val="center"/>
      <w:rPr>
        <w:rFonts w:ascii="Century Gothic" w:hAnsi="Century Gothic"/>
        <w:sz w:val="14"/>
        <w:szCs w:val="21"/>
      </w:rPr>
    </w:pPr>
    <w:r w:rsidRPr="00316155">
      <w:rPr>
        <w:rFonts w:ascii="Century Gothic" w:hAnsi="Century Gothic"/>
        <w:sz w:val="14"/>
        <w:szCs w:val="21"/>
      </w:rPr>
      <w:t>Rua Alexandre Simões de Almeida, 367 | CEP 19940-009 | Ibirarema (SP)</w:t>
    </w:r>
  </w:p>
  <w:p w14:paraId="7C6C5A94" w14:textId="77777777" w:rsidR="00247CD1" w:rsidRDefault="00247CD1" w:rsidP="00B310E2">
    <w:pPr>
      <w:spacing w:after="0" w:line="360" w:lineRule="auto"/>
      <w:jc w:val="center"/>
      <w:rPr>
        <w:rFonts w:ascii="Century Gothic" w:hAnsi="Century Gothic"/>
        <w:sz w:val="14"/>
        <w:szCs w:val="21"/>
      </w:rPr>
    </w:pPr>
    <w:r>
      <w:rPr>
        <w:rFonts w:ascii="Century Gothic" w:hAnsi="Century Gothic"/>
        <w:sz w:val="14"/>
        <w:szCs w:val="21"/>
      </w:rPr>
      <w:t>I</w:t>
    </w:r>
    <w:r w:rsidRPr="00316155">
      <w:rPr>
        <w:rFonts w:ascii="Century Gothic" w:hAnsi="Century Gothic"/>
        <w:sz w:val="14"/>
        <w:szCs w:val="21"/>
      </w:rPr>
      <w:t>birarema.sp.gov.br | planejamento@ibirarema.sp.gov.br | (14) 3307.1422</w:t>
    </w:r>
  </w:p>
  <w:p w14:paraId="63DBDED8" w14:textId="77777777" w:rsidR="00247CD1" w:rsidRPr="00522C4D" w:rsidRDefault="00247CD1" w:rsidP="00B310E2">
    <w:pPr>
      <w:spacing w:after="0" w:line="360" w:lineRule="auto"/>
      <w:jc w:val="center"/>
      <w:rPr>
        <w:rFonts w:ascii="Century Gothic" w:hAnsi="Century Gothic"/>
        <w:sz w:val="14"/>
        <w:szCs w:val="21"/>
      </w:rPr>
    </w:pPr>
    <w:r w:rsidRPr="00316155">
      <w:rPr>
        <w:rFonts w:ascii="Century Gothic" w:hAnsi="Century Gothic"/>
        <w:b/>
        <w:sz w:val="16"/>
        <w:szCs w:val="21"/>
      </w:rPr>
      <w:t>DEPARTAMENTO DE</w:t>
    </w:r>
    <w:r>
      <w:rPr>
        <w:rFonts w:ascii="Century Gothic" w:hAnsi="Century Gothic"/>
        <w:b/>
        <w:sz w:val="16"/>
        <w:szCs w:val="21"/>
      </w:rPr>
      <w:t xml:space="preserve"> CULTURA, TURISMO E COMUNICAÇÃO</w:t>
    </w:r>
  </w:p>
  <w:p w14:paraId="0500E0B6" w14:textId="77777777" w:rsidR="00247CD1" w:rsidRDefault="00247CD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F2B27"/>
    <w:multiLevelType w:val="hybridMultilevel"/>
    <w:tmpl w:val="C786EEA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5265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D1"/>
    <w:rsid w:val="00051B1F"/>
    <w:rsid w:val="000D7BD7"/>
    <w:rsid w:val="000F703E"/>
    <w:rsid w:val="00126349"/>
    <w:rsid w:val="00127B62"/>
    <w:rsid w:val="00247CD1"/>
    <w:rsid w:val="00325D66"/>
    <w:rsid w:val="006E6E2A"/>
    <w:rsid w:val="00732F68"/>
    <w:rsid w:val="00B53578"/>
    <w:rsid w:val="00B63B69"/>
    <w:rsid w:val="00D25234"/>
    <w:rsid w:val="00F1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2FD6"/>
  <w15:chartTrackingRefBased/>
  <w15:docId w15:val="{1B6BD2E6-8045-4B44-A1C3-A5C2B8F3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247C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7CD1"/>
  </w:style>
  <w:style w:type="paragraph" w:styleId="Cabealho">
    <w:name w:val="header"/>
    <w:basedOn w:val="Normal"/>
    <w:link w:val="CabealhoChar"/>
    <w:uiPriority w:val="99"/>
    <w:unhideWhenUsed/>
    <w:rsid w:val="00247C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7CD1"/>
  </w:style>
  <w:style w:type="character" w:styleId="Nmerodepgina">
    <w:name w:val="page number"/>
    <w:basedOn w:val="Fontepargpadro"/>
    <w:rsid w:val="00247CD1"/>
  </w:style>
  <w:style w:type="table" w:styleId="Tabelacomgrade">
    <w:name w:val="Table Grid"/>
    <w:basedOn w:val="Tabelanormal"/>
    <w:uiPriority w:val="59"/>
    <w:rsid w:val="00247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1834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Ibirarema</dc:creator>
  <cp:keywords/>
  <dc:description/>
  <cp:lastModifiedBy>Pedro Rafael Aparecido Barbosa</cp:lastModifiedBy>
  <cp:revision>6</cp:revision>
  <dcterms:created xsi:type="dcterms:W3CDTF">2024-12-12T17:23:00Z</dcterms:created>
  <dcterms:modified xsi:type="dcterms:W3CDTF">2026-08-14T12:28:00Z</dcterms:modified>
</cp:coreProperties>
</file>