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74BA8" w14:textId="77777777" w:rsidR="002A4128" w:rsidRDefault="006D03C8">
      <w:pPr>
        <w:spacing w:after="300"/>
        <w:jc w:val="center"/>
      </w:pPr>
      <w:r>
        <w:rPr>
          <w:b/>
          <w:bCs/>
          <w:sz w:val="28"/>
          <w:szCs w:val="28"/>
        </w:rPr>
        <w:t>TERMO DE REFERÊNCIA</w:t>
      </w:r>
    </w:p>
    <w:p w14:paraId="073E42E0" w14:textId="77777777" w:rsidR="002A4128" w:rsidRDefault="006D03C8">
      <w:pPr>
        <w:spacing w:after="160"/>
        <w:jc w:val="both"/>
      </w:pPr>
      <w:r>
        <w:rPr>
          <w:b/>
          <w:bCs/>
        </w:rPr>
        <w:t xml:space="preserve">Processo Administrativo nº: </w:t>
      </w:r>
      <w:r>
        <w:t>a ser autuado</w:t>
      </w:r>
    </w:p>
    <w:p w14:paraId="7A9852DA" w14:textId="77777777" w:rsidR="002A4128" w:rsidRDefault="006D03C8">
      <w:pPr>
        <w:spacing w:after="160"/>
        <w:jc w:val="both"/>
      </w:pPr>
      <w:r>
        <w:rPr>
          <w:b/>
          <w:bCs/>
        </w:rPr>
        <w:t xml:space="preserve">Forma de contratação: </w:t>
      </w:r>
      <w:r>
        <w:t>Contratação Direta por Dispensa de Licitação</w:t>
      </w:r>
    </w:p>
    <w:p w14:paraId="40AF8056" w14:textId="77777777" w:rsidR="002A4128" w:rsidRDefault="006D03C8">
      <w:pPr>
        <w:spacing w:after="160"/>
        <w:jc w:val="both"/>
      </w:pPr>
      <w:r>
        <w:rPr>
          <w:b/>
          <w:bCs/>
        </w:rPr>
        <w:t xml:space="preserve">Fundamentação legal: </w:t>
      </w:r>
      <w:r>
        <w:t>Art. 75, inciso II, da Lei nº 14.133/2021, c/c Decreto Federal nº 12.807/2025 (atualização de valores).</w:t>
      </w:r>
    </w:p>
    <w:p w14:paraId="22894BDF" w14:textId="77777777" w:rsidR="002A4128" w:rsidRDefault="006D03C8">
      <w:pPr>
        <w:pStyle w:val="Ttulo2"/>
      </w:pPr>
      <w:r>
        <w:t>1. Objeto</w:t>
      </w:r>
    </w:p>
    <w:p w14:paraId="08305E17" w14:textId="77777777" w:rsidR="002A4128" w:rsidRDefault="006D03C8">
      <w:pPr>
        <w:spacing w:after="160"/>
        <w:jc w:val="both"/>
      </w:pPr>
      <w:r>
        <w:t>Aquisição de mobiliário destinado ao Auditório do Centro de Especialidades do Município de Ibirarema/SP, compreendendo assentos fixos para auditório (incluindo unidade especial para pessoa obesa), poltronas giratórias tipo presidente, banquetas estofadas e tapete sinalizador de espaço reservado a Pessoa com Deficiência (PCD), incluindo entrega e montagem, conforme especificações e quantitativos constantes deste Termo de Referência.</w:t>
      </w:r>
    </w:p>
    <w:p w14:paraId="4296550C" w14:textId="77777777" w:rsidR="002A4128" w:rsidRDefault="006D03C8">
      <w:pPr>
        <w:pStyle w:val="Ttulo2"/>
      </w:pPr>
      <w:r>
        <w:t>2. Fundamentação da Contratação</w:t>
      </w:r>
    </w:p>
    <w:p w14:paraId="1C498C25" w14:textId="77777777" w:rsidR="002A4128" w:rsidRDefault="006D03C8">
      <w:pPr>
        <w:spacing w:after="160"/>
        <w:jc w:val="both"/>
      </w:pPr>
      <w:r>
        <w:t>A contratação fundamenta-se no Documento de Formalização de Demanda (DFD) e no Estudo Técnico Preliminar (ETP) que instruem este processo, os quais demonstram a necessidade de mobiliário adequado para o pleno funcionamento do Auditório do Centro de Especialidades, bem como a viabilidade técnica e econômica da contratação direta, mediante Dispensa de Licitação em razão do valor, nos termos do art. 75, inciso II, da Lei nº 14.133/2021.</w:t>
      </w:r>
    </w:p>
    <w:p w14:paraId="4C9238AA" w14:textId="77777777" w:rsidR="002A4128" w:rsidRDefault="006D03C8">
      <w:pPr>
        <w:spacing w:after="160"/>
        <w:jc w:val="both"/>
      </w:pPr>
      <w:r>
        <w:t xml:space="preserve">O valor da contratação (R$ 47.224,00) é </w:t>
      </w:r>
      <w:r>
        <w:rPr>
          <w:b/>
          <w:bCs/>
        </w:rPr>
        <w:t>inferior ao limite de R$ 65.492,11</w:t>
      </w:r>
      <w:r>
        <w:t>, vigente para o exercício de 2026 (Decreto Federal nº 12.807/2025), o que dispensa a realização de procedimento licitatório, observados os requisitos do art. 72 da Lei nº 14.133/2021.</w:t>
      </w:r>
    </w:p>
    <w:p w14:paraId="2094A7B4" w14:textId="77777777" w:rsidR="002A4128" w:rsidRDefault="006D03C8">
      <w:pPr>
        <w:pStyle w:val="Ttulo2"/>
      </w:pPr>
      <w:r>
        <w:t>3. Descrição do Objeto e Especificações Técnicas</w:t>
      </w:r>
    </w:p>
    <w:p w14:paraId="01F264FC" w14:textId="77777777" w:rsidR="002A4128" w:rsidRDefault="006D03C8">
      <w:pPr>
        <w:spacing w:after="160"/>
        <w:jc w:val="both"/>
      </w:pPr>
      <w:r>
        <w:t>As especificações técnicas detalhadas constam do Memorial Descritivo elaborado pelo Departamento de Obras, Serviços, Engenharia e Projetos, resumidas no quadro a seguir, com os quantitativos e os valores unitários e totais da proposta de menor preço coletada, apresentada pela empresa Ferreira &amp; Tanganeli LTDA ME:</w:t>
      </w:r>
    </w:p>
    <w:tbl>
      <w:tblPr>
        <w:tblW w:w="8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3"/>
        <w:gridCol w:w="920"/>
        <w:gridCol w:w="2868"/>
        <w:gridCol w:w="1019"/>
        <w:gridCol w:w="1130"/>
      </w:tblGrid>
      <w:tr w:rsidR="002A4128" w14:paraId="69EB8634" w14:textId="77777777">
        <w:tc>
          <w:tcPr>
            <w:tcW w:w="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18BAB0" w14:textId="77777777" w:rsidR="002A4128" w:rsidRDefault="006D03C8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BED30D" w14:textId="77777777" w:rsidR="002A4128" w:rsidRDefault="006D03C8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Qtd.</w:t>
            </w:r>
          </w:p>
        </w:tc>
        <w:tc>
          <w:tcPr>
            <w:tcW w:w="52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B34D6C" w14:textId="77777777" w:rsidR="002A4128" w:rsidRDefault="006D03C8">
            <w:r>
              <w:rPr>
                <w:b/>
                <w:bCs/>
                <w:sz w:val="20"/>
                <w:szCs w:val="20"/>
              </w:rPr>
              <w:t>Especificação técnica</w:t>
            </w:r>
          </w:p>
        </w:tc>
        <w:tc>
          <w:tcPr>
            <w:tcW w:w="9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AE0ECF" w14:textId="77777777" w:rsidR="002A4128" w:rsidRDefault="006D03C8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V. unit.</w:t>
            </w:r>
          </w:p>
        </w:tc>
        <w:tc>
          <w:tcPr>
            <w:tcW w:w="9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7B0E96" w14:textId="77777777" w:rsidR="002A4128" w:rsidRDefault="006D03C8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V. total</w:t>
            </w:r>
          </w:p>
        </w:tc>
      </w:tr>
      <w:tr w:rsidR="002A4128" w14:paraId="66EBF6E9" w14:textId="77777777">
        <w:tc>
          <w:tcPr>
            <w:tcW w:w="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886085" w14:textId="77777777" w:rsidR="002A4128" w:rsidRDefault="006D03C8">
            <w:pPr>
              <w:jc w:val="center"/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EB89D0" w14:textId="77777777" w:rsidR="002A4128" w:rsidRDefault="006D03C8">
            <w:pPr>
              <w:jc w:val="center"/>
            </w:pPr>
            <w:r>
              <w:rPr>
                <w:sz w:val="20"/>
                <w:szCs w:val="20"/>
              </w:rPr>
              <w:t>30 un.</w:t>
            </w:r>
          </w:p>
        </w:tc>
        <w:tc>
          <w:tcPr>
            <w:tcW w:w="52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12AC95" w14:textId="77777777" w:rsidR="002A4128" w:rsidRDefault="006D03C8">
            <w:r>
              <w:rPr>
                <w:sz w:val="20"/>
                <w:szCs w:val="20"/>
              </w:rPr>
              <w:t xml:space="preserve">Assento fixo para auditório (público): madeira compensada multilaminada anatômica (14 mm), espuma de poliuretano injetada D45 (70 mm) no assento e D28 (30 mm) no encosto, revestimento sintético preto; estrutura em tubo retangular 30x50 mm e oblongo 16x30 mm, pés em chapa 14 formato “canoa”, aço carbono com pintura epóxi preta e soldagem MIG; 2 apoios de braço revestidos; mecanismo rebatível para prancheta em MDP 15 mm com </w:t>
            </w:r>
            <w:r>
              <w:rPr>
                <w:sz w:val="20"/>
                <w:szCs w:val="20"/>
              </w:rPr>
              <w:lastRenderedPageBreak/>
              <w:t>acabamento em PVC; bordado traseiro com o brasão municipal.</w:t>
            </w:r>
          </w:p>
        </w:tc>
        <w:tc>
          <w:tcPr>
            <w:tcW w:w="9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73968F" w14:textId="77777777" w:rsidR="002A4128" w:rsidRDefault="006D03C8">
            <w:pPr>
              <w:jc w:val="right"/>
            </w:pPr>
            <w:r>
              <w:rPr>
                <w:sz w:val="20"/>
                <w:szCs w:val="20"/>
              </w:rPr>
              <w:lastRenderedPageBreak/>
              <w:t>R$ 1.052,00</w:t>
            </w:r>
          </w:p>
        </w:tc>
        <w:tc>
          <w:tcPr>
            <w:tcW w:w="9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63E242" w14:textId="77777777" w:rsidR="002A4128" w:rsidRDefault="006D03C8">
            <w:pPr>
              <w:jc w:val="right"/>
            </w:pPr>
            <w:r>
              <w:rPr>
                <w:sz w:val="20"/>
                <w:szCs w:val="20"/>
              </w:rPr>
              <w:t>R$ 31.560,00</w:t>
            </w:r>
          </w:p>
        </w:tc>
      </w:tr>
      <w:tr w:rsidR="002A4128" w14:paraId="0A6D6BC2" w14:textId="77777777">
        <w:tc>
          <w:tcPr>
            <w:tcW w:w="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6C28EE" w14:textId="77777777" w:rsidR="002A4128" w:rsidRDefault="006D03C8">
            <w:pPr>
              <w:jc w:val="center"/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6AF599" w14:textId="77777777" w:rsidR="002A4128" w:rsidRDefault="006D03C8">
            <w:pPr>
              <w:jc w:val="center"/>
            </w:pPr>
            <w:r>
              <w:rPr>
                <w:sz w:val="20"/>
                <w:szCs w:val="20"/>
              </w:rPr>
              <w:t>01 un.</w:t>
            </w:r>
          </w:p>
        </w:tc>
        <w:tc>
          <w:tcPr>
            <w:tcW w:w="52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5CBED5" w14:textId="77777777" w:rsidR="002A4128" w:rsidRDefault="006D03C8">
            <w:r>
              <w:rPr>
                <w:sz w:val="20"/>
                <w:szCs w:val="20"/>
              </w:rPr>
              <w:t>Assento fixo especial para pessoa obesa, mesmas especificações técnicas do Item 01, com dimensionamento estrutural ampliado para maior capacidade de carga e segurança; bordado traseiro com o brasão municipal.</w:t>
            </w:r>
          </w:p>
        </w:tc>
        <w:tc>
          <w:tcPr>
            <w:tcW w:w="9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11B976" w14:textId="47F9F620" w:rsidR="002A4128" w:rsidRDefault="006D03C8">
            <w:pPr>
              <w:jc w:val="right"/>
            </w:pPr>
            <w:r>
              <w:rPr>
                <w:sz w:val="20"/>
                <w:szCs w:val="20"/>
              </w:rPr>
              <w:t>R$ 1.</w:t>
            </w:r>
            <w:r w:rsidR="0067131D">
              <w:rPr>
                <w:sz w:val="20"/>
                <w:szCs w:val="20"/>
              </w:rPr>
              <w:t>700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9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04B3AA" w14:textId="5651544F" w:rsidR="002A4128" w:rsidRDefault="006D03C8">
            <w:pPr>
              <w:jc w:val="right"/>
            </w:pPr>
            <w:r>
              <w:rPr>
                <w:sz w:val="20"/>
                <w:szCs w:val="20"/>
              </w:rPr>
              <w:t>R$ 1.</w:t>
            </w:r>
            <w:r w:rsidR="0067131D">
              <w:rPr>
                <w:sz w:val="20"/>
                <w:szCs w:val="20"/>
              </w:rPr>
              <w:t>700</w:t>
            </w:r>
            <w:r>
              <w:rPr>
                <w:sz w:val="20"/>
                <w:szCs w:val="20"/>
              </w:rPr>
              <w:t>,00</w:t>
            </w:r>
          </w:p>
        </w:tc>
      </w:tr>
      <w:tr w:rsidR="002A4128" w14:paraId="0F707E74" w14:textId="77777777">
        <w:tc>
          <w:tcPr>
            <w:tcW w:w="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CBB3A4" w14:textId="77777777" w:rsidR="002A4128" w:rsidRDefault="006D03C8">
            <w:pPr>
              <w:jc w:val="center"/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B75CF6" w14:textId="77777777" w:rsidR="002A4128" w:rsidRDefault="006D03C8">
            <w:pPr>
              <w:jc w:val="center"/>
            </w:pPr>
            <w:r>
              <w:rPr>
                <w:sz w:val="20"/>
                <w:szCs w:val="20"/>
              </w:rPr>
              <w:t>01 un.</w:t>
            </w:r>
          </w:p>
        </w:tc>
        <w:tc>
          <w:tcPr>
            <w:tcW w:w="52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764706" w14:textId="77777777" w:rsidR="002A4128" w:rsidRDefault="006D03C8">
            <w:r>
              <w:rPr>
                <w:sz w:val="20"/>
                <w:szCs w:val="20"/>
              </w:rPr>
              <w:t>Tapete sinalizador de espaço reservado a PCD, em capacho, dimensões 1.000 x 1.000 mm, conforme NBR 9050.</w:t>
            </w:r>
          </w:p>
        </w:tc>
        <w:tc>
          <w:tcPr>
            <w:tcW w:w="9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8F7C30" w14:textId="3529534F" w:rsidR="002A4128" w:rsidRDefault="006D03C8">
            <w:pPr>
              <w:jc w:val="right"/>
            </w:pPr>
            <w:r>
              <w:rPr>
                <w:sz w:val="20"/>
                <w:szCs w:val="20"/>
              </w:rPr>
              <w:t xml:space="preserve">R$ </w:t>
            </w:r>
            <w:r w:rsidR="0067131D">
              <w:rPr>
                <w:sz w:val="20"/>
                <w:szCs w:val="20"/>
              </w:rPr>
              <w:t>500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9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9BEA19" w14:textId="24474707" w:rsidR="002A4128" w:rsidRDefault="006D03C8">
            <w:pPr>
              <w:jc w:val="right"/>
            </w:pPr>
            <w:r>
              <w:rPr>
                <w:sz w:val="20"/>
                <w:szCs w:val="20"/>
              </w:rPr>
              <w:t xml:space="preserve">R$ </w:t>
            </w:r>
            <w:r w:rsidR="0067131D">
              <w:rPr>
                <w:sz w:val="20"/>
                <w:szCs w:val="20"/>
              </w:rPr>
              <w:t>500</w:t>
            </w:r>
            <w:r>
              <w:rPr>
                <w:sz w:val="20"/>
                <w:szCs w:val="20"/>
              </w:rPr>
              <w:t>,00</w:t>
            </w:r>
          </w:p>
        </w:tc>
      </w:tr>
      <w:tr w:rsidR="002A4128" w14:paraId="05838E79" w14:textId="77777777">
        <w:tc>
          <w:tcPr>
            <w:tcW w:w="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AFD28C" w14:textId="77777777" w:rsidR="002A4128" w:rsidRDefault="006D03C8">
            <w:pPr>
              <w:jc w:val="center"/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2D3DB9" w14:textId="77777777" w:rsidR="002A4128" w:rsidRDefault="006D03C8">
            <w:pPr>
              <w:jc w:val="center"/>
            </w:pPr>
            <w:r>
              <w:rPr>
                <w:sz w:val="20"/>
                <w:szCs w:val="20"/>
              </w:rPr>
              <w:t>08 un.</w:t>
            </w:r>
          </w:p>
        </w:tc>
        <w:tc>
          <w:tcPr>
            <w:tcW w:w="52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A59528" w14:textId="77777777" w:rsidR="002A4128" w:rsidRDefault="006D03C8">
            <w:r>
              <w:rPr>
                <w:sz w:val="20"/>
                <w:szCs w:val="20"/>
              </w:rPr>
              <w:t>Banqueta estofada, estrutura em aço na cor preta, estofamento em espuma laminada no assento e encosto, revestimento em couro ecológico.</w:t>
            </w:r>
          </w:p>
        </w:tc>
        <w:tc>
          <w:tcPr>
            <w:tcW w:w="9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580D27" w14:textId="77777777" w:rsidR="002A4128" w:rsidRDefault="006D03C8">
            <w:pPr>
              <w:jc w:val="right"/>
            </w:pPr>
            <w:r>
              <w:rPr>
                <w:sz w:val="20"/>
                <w:szCs w:val="20"/>
              </w:rPr>
              <w:t>R$ 365,00</w:t>
            </w:r>
          </w:p>
        </w:tc>
        <w:tc>
          <w:tcPr>
            <w:tcW w:w="9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FD611E" w14:textId="77777777" w:rsidR="002A4128" w:rsidRDefault="006D03C8">
            <w:pPr>
              <w:jc w:val="right"/>
            </w:pPr>
            <w:r>
              <w:rPr>
                <w:sz w:val="20"/>
                <w:szCs w:val="20"/>
              </w:rPr>
              <w:t>R$ 2.920,00</w:t>
            </w:r>
          </w:p>
        </w:tc>
      </w:tr>
      <w:tr w:rsidR="002A4128" w14:paraId="51F0D29C" w14:textId="77777777">
        <w:tc>
          <w:tcPr>
            <w:tcW w:w="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FD71E1" w14:textId="77777777" w:rsidR="002A4128" w:rsidRDefault="006D03C8">
            <w:pPr>
              <w:jc w:val="center"/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0687DF" w14:textId="77777777" w:rsidR="002A4128" w:rsidRDefault="006D03C8">
            <w:pPr>
              <w:jc w:val="center"/>
            </w:pPr>
            <w:r>
              <w:rPr>
                <w:sz w:val="20"/>
                <w:szCs w:val="20"/>
              </w:rPr>
              <w:t>08 un.</w:t>
            </w:r>
          </w:p>
        </w:tc>
        <w:tc>
          <w:tcPr>
            <w:tcW w:w="52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976CA0" w14:textId="77777777" w:rsidR="002A4128" w:rsidRDefault="006D03C8">
            <w:r>
              <w:rPr>
                <w:sz w:val="20"/>
                <w:szCs w:val="20"/>
              </w:rPr>
              <w:t>Poltrona giratória tipo presidente: assento e encosto em madeira compensada anatômica de 20 mm com travessas em eucalipto de 20 mm, estofamento em espuma laminada com percintas elásticas; braços em aço com tubo elíptico e apoio em madeira revestida; base giratória em aço com capa em polipropileno preto; bordado frontal com o brasão municipal.</w:t>
            </w:r>
          </w:p>
        </w:tc>
        <w:tc>
          <w:tcPr>
            <w:tcW w:w="9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2EFE48" w14:textId="77777777" w:rsidR="002A4128" w:rsidRDefault="006D03C8">
            <w:pPr>
              <w:jc w:val="right"/>
            </w:pPr>
            <w:r>
              <w:rPr>
                <w:sz w:val="20"/>
                <w:szCs w:val="20"/>
              </w:rPr>
              <w:t>R$ 1.318,00</w:t>
            </w:r>
          </w:p>
        </w:tc>
        <w:tc>
          <w:tcPr>
            <w:tcW w:w="9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DDE6EC" w14:textId="77777777" w:rsidR="002A4128" w:rsidRDefault="006D03C8">
            <w:pPr>
              <w:jc w:val="right"/>
            </w:pPr>
            <w:r>
              <w:rPr>
                <w:sz w:val="20"/>
                <w:szCs w:val="20"/>
              </w:rPr>
              <w:t>R$ 10.544,00</w:t>
            </w:r>
          </w:p>
        </w:tc>
      </w:tr>
      <w:tr w:rsidR="002A4128" w14:paraId="2DE2731E" w14:textId="77777777">
        <w:trPr>
          <w:gridAfter w:val="2"/>
          <w:wAfter w:w="1900" w:type="dxa"/>
        </w:trPr>
        <w:tc>
          <w:tcPr>
            <w:tcW w:w="64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CC93A6" w14:textId="77777777" w:rsidR="002A4128" w:rsidRDefault="002A4128"/>
        </w:tc>
        <w:tc>
          <w:tcPr>
            <w:tcW w:w="9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490D24" w14:textId="77777777" w:rsidR="002A4128" w:rsidRDefault="006D03C8"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9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89DCA4" w14:textId="77777777" w:rsidR="002A4128" w:rsidRDefault="006D03C8"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>R$ 47.224,00</w:t>
            </w:r>
          </w:p>
        </w:tc>
      </w:tr>
    </w:tbl>
    <w:p w14:paraId="63672355" w14:textId="77777777" w:rsidR="002A4128" w:rsidRDefault="002A4128">
      <w:pPr>
        <w:spacing w:after="160"/>
        <w:jc w:val="both"/>
      </w:pPr>
    </w:p>
    <w:p w14:paraId="06C36121" w14:textId="77777777" w:rsidR="002A4128" w:rsidRDefault="006D03C8">
      <w:pPr>
        <w:spacing w:after="160"/>
        <w:jc w:val="both"/>
      </w:pPr>
      <w:r>
        <w:t>Os assentos do público (Item 01) e a poltrona presidente (Item 05) deverão ser personalizados com bordado do brasão do Município de Ibirarema e dizeres específicos a serem fornecidos pela Administração por ocasião da assinatura do contrato/emissão da ordem de fornecimento.</w:t>
      </w:r>
    </w:p>
    <w:p w14:paraId="1071DC06" w14:textId="77777777" w:rsidR="002A4128" w:rsidRDefault="006D03C8">
      <w:pPr>
        <w:spacing w:after="160"/>
        <w:jc w:val="both"/>
      </w:pPr>
      <w:r>
        <w:t>Cores de referência e demais elementos de identidade visual (ex.: cor CEE-627) deverão observar o padrão definido pela Administração Municipal, conforme Memorial Descritivo.</w:t>
      </w:r>
    </w:p>
    <w:p w14:paraId="7B128C05" w14:textId="77777777" w:rsidR="002A4128" w:rsidRDefault="006D03C8">
      <w:pPr>
        <w:pStyle w:val="Ttulo2"/>
      </w:pPr>
      <w:r>
        <w:t>4. Pesquisa de Preços e Justificativa do Valor</w:t>
      </w:r>
    </w:p>
    <w:p w14:paraId="1192A4B7" w14:textId="77777777" w:rsidR="002A4128" w:rsidRDefault="006D03C8">
      <w:pPr>
        <w:spacing w:after="160"/>
        <w:jc w:val="both"/>
      </w:pPr>
      <w:r>
        <w:t xml:space="preserve">Foram coletados 3 (três) orçamentos de fornecedores do ramo (Ferreira &amp; Tanganeli LTDA ME, Maringá Poltronas e Móveis para Escritório, e N.S.G. Indústria e Comércio de Móveis LTDA), todos </w:t>
      </w:r>
      <w:r>
        <w:lastRenderedPageBreak/>
        <w:t>datados de 25/06/2026, com especificações técnicas equivalentes. A proposta de menor valor global — R$ 47.224,00, da empresa Ferreira &amp; Tanganeli LTDA ME — foi adotada como referência de preço e como base para a contratação direta, em atendimento aos arts. 23 e 72, incisos VI e VII, da Lei nº 14.133/2021.</w:t>
      </w:r>
    </w:p>
    <w:p w14:paraId="41C5AE90" w14:textId="77777777" w:rsidR="002A4128" w:rsidRDefault="006D03C8">
      <w:pPr>
        <w:pStyle w:val="Ttulo2"/>
      </w:pPr>
      <w:r>
        <w:t>5. Local, Prazo e Condições de Entrega</w:t>
      </w:r>
    </w:p>
    <w:p w14:paraId="57C698FC" w14:textId="77777777" w:rsidR="002A4128" w:rsidRDefault="006D03C8">
      <w:pPr>
        <w:pStyle w:val="PargrafodaLista"/>
        <w:numPr>
          <w:ilvl w:val="0"/>
          <w:numId w:val="2"/>
        </w:numPr>
        <w:spacing w:after="120"/>
        <w:jc w:val="both"/>
      </w:pPr>
      <w:r>
        <w:t>Local de entrega: Auditório do Centro de Especialidades do Município de Ibirarema/SP, ou outro endereço indicado pela Secretaria Municipal de Saúde;</w:t>
      </w:r>
    </w:p>
    <w:p w14:paraId="78E7F11B" w14:textId="77777777" w:rsidR="002A4128" w:rsidRDefault="006D03C8">
      <w:pPr>
        <w:pStyle w:val="PargrafodaLista"/>
        <w:numPr>
          <w:ilvl w:val="0"/>
          <w:numId w:val="2"/>
        </w:numPr>
        <w:spacing w:after="120"/>
        <w:jc w:val="both"/>
      </w:pPr>
      <w:r>
        <w:t>Prazo de entrega: até 20 (vinte) dias úteis, contados da emissão da ordem de fornecimento/nota de empenho;</w:t>
      </w:r>
    </w:p>
    <w:p w14:paraId="751998C8" w14:textId="77777777" w:rsidR="002A4128" w:rsidRDefault="006D03C8">
      <w:pPr>
        <w:pStyle w:val="PargrafodaLista"/>
        <w:numPr>
          <w:ilvl w:val="0"/>
          <w:numId w:val="2"/>
        </w:numPr>
        <w:spacing w:after="120"/>
        <w:jc w:val="both"/>
      </w:pPr>
      <w:r>
        <w:t>A entrega deverá incluir a montagem completa dos itens no local indicado, sem ônus adicional para a Administração;</w:t>
      </w:r>
    </w:p>
    <w:p w14:paraId="72073A26" w14:textId="77777777" w:rsidR="002A4128" w:rsidRDefault="006D03C8">
      <w:pPr>
        <w:pStyle w:val="PargrafodaLista"/>
        <w:numPr>
          <w:ilvl w:val="0"/>
          <w:numId w:val="2"/>
        </w:numPr>
        <w:spacing w:after="120"/>
        <w:jc w:val="both"/>
      </w:pPr>
      <w:r>
        <w:t>O recebimento se dará provisoriamente, para fins de verificação da conformidade com as especificações técnicas, e definitivamente após conferência, no prazo de até 5 (cinco) dias úteis subsequentes ao recebimento provisório.</w:t>
      </w:r>
    </w:p>
    <w:p w14:paraId="1A4EA9A3" w14:textId="77777777" w:rsidR="002A4128" w:rsidRDefault="006D03C8">
      <w:pPr>
        <w:pStyle w:val="Ttulo2"/>
      </w:pPr>
      <w:r>
        <w:t>6. Obrigações da Contratada</w:t>
      </w:r>
    </w:p>
    <w:p w14:paraId="56CE7FFF" w14:textId="77777777" w:rsidR="002A4128" w:rsidRDefault="006D03C8">
      <w:pPr>
        <w:pStyle w:val="PargrafodaLista"/>
        <w:numPr>
          <w:ilvl w:val="0"/>
          <w:numId w:val="2"/>
        </w:numPr>
        <w:spacing w:after="120"/>
        <w:jc w:val="both"/>
      </w:pPr>
      <w:r>
        <w:t>Fornecer os bens rigorosamente de acordo com as especificações técnicas constantes deste Termo de Referência e do Memorial Descritivo;</w:t>
      </w:r>
    </w:p>
    <w:p w14:paraId="4B1132CD" w14:textId="77777777" w:rsidR="002A4128" w:rsidRDefault="006D03C8">
      <w:pPr>
        <w:pStyle w:val="PargrafodaLista"/>
        <w:numPr>
          <w:ilvl w:val="0"/>
          <w:numId w:val="2"/>
        </w:numPr>
        <w:spacing w:after="120"/>
        <w:jc w:val="both"/>
      </w:pPr>
      <w:r>
        <w:t>Entregar e montar os itens no local e prazo estabelecidos, correndo por sua conta as despesas de transporte, carga, descarga e montagem;</w:t>
      </w:r>
    </w:p>
    <w:p w14:paraId="6DD6C227" w14:textId="77777777" w:rsidR="002A4128" w:rsidRDefault="006D03C8">
      <w:pPr>
        <w:pStyle w:val="PargrafodaLista"/>
        <w:numPr>
          <w:ilvl w:val="0"/>
          <w:numId w:val="2"/>
        </w:numPr>
        <w:spacing w:after="120"/>
        <w:jc w:val="both"/>
      </w:pPr>
      <w:r>
        <w:t>Substituir, sem ônus para a Administração, qualquer item entregue em desacordo com as especificações, no prazo a ser fixado pelo fiscal do contrato;</w:t>
      </w:r>
    </w:p>
    <w:p w14:paraId="62E350A5" w14:textId="77777777" w:rsidR="002A4128" w:rsidRDefault="006D03C8">
      <w:pPr>
        <w:pStyle w:val="PargrafodaLista"/>
        <w:numPr>
          <w:ilvl w:val="0"/>
          <w:numId w:val="2"/>
        </w:numPr>
        <w:spacing w:after="120"/>
        <w:jc w:val="both"/>
      </w:pPr>
      <w:r>
        <w:t>Fornecer garantia mínima do fabricante para todos os itens, indicando prazo e condições no momento da entrega;</w:t>
      </w:r>
    </w:p>
    <w:p w14:paraId="4599BB28" w14:textId="77777777" w:rsidR="002A4128" w:rsidRDefault="006D03C8">
      <w:pPr>
        <w:pStyle w:val="PargrafodaLista"/>
        <w:numPr>
          <w:ilvl w:val="0"/>
          <w:numId w:val="2"/>
        </w:numPr>
        <w:spacing w:after="120"/>
        <w:jc w:val="both"/>
      </w:pPr>
      <w:r>
        <w:t>Manter, durante a vigência do ajuste, todas as condições de habilitação e regularidade fiscal exigidas para a contratação direta;</w:t>
      </w:r>
    </w:p>
    <w:p w14:paraId="35ADD8FB" w14:textId="77777777" w:rsidR="002A4128" w:rsidRDefault="006D03C8">
      <w:pPr>
        <w:pStyle w:val="PargrafodaLista"/>
        <w:numPr>
          <w:ilvl w:val="0"/>
          <w:numId w:val="2"/>
        </w:numPr>
        <w:spacing w:after="120"/>
        <w:jc w:val="both"/>
      </w:pPr>
      <w:r>
        <w:t>Responsabilizar-se por danos causados à Administração ou a terceiros decorrentes de sua ação ou omissão na execução do ajuste.</w:t>
      </w:r>
    </w:p>
    <w:p w14:paraId="6969DACA" w14:textId="77777777" w:rsidR="002A4128" w:rsidRDefault="006D03C8">
      <w:pPr>
        <w:pStyle w:val="Ttulo2"/>
      </w:pPr>
      <w:r>
        <w:t>7. Obrigações da Contratante</w:t>
      </w:r>
    </w:p>
    <w:p w14:paraId="1CFB6DC6" w14:textId="77777777" w:rsidR="002A4128" w:rsidRDefault="006D03C8">
      <w:pPr>
        <w:pStyle w:val="PargrafodaLista"/>
        <w:numPr>
          <w:ilvl w:val="0"/>
          <w:numId w:val="2"/>
        </w:numPr>
        <w:spacing w:after="120"/>
        <w:jc w:val="both"/>
      </w:pPr>
      <w:r>
        <w:t>Proporcionar as condições necessárias para a entrega e montagem dos bens;</w:t>
      </w:r>
    </w:p>
    <w:p w14:paraId="74AEF81A" w14:textId="77777777" w:rsidR="002A4128" w:rsidRDefault="006D03C8">
      <w:pPr>
        <w:pStyle w:val="PargrafodaLista"/>
        <w:numPr>
          <w:ilvl w:val="0"/>
          <w:numId w:val="2"/>
        </w:numPr>
        <w:spacing w:after="120"/>
        <w:jc w:val="both"/>
      </w:pPr>
      <w:r>
        <w:t>Designar fiscal/gestor do contrato para acompanhamento da execução;</w:t>
      </w:r>
    </w:p>
    <w:p w14:paraId="7770FFF8" w14:textId="77777777" w:rsidR="002A4128" w:rsidRDefault="006D03C8">
      <w:pPr>
        <w:pStyle w:val="PargrafodaLista"/>
        <w:numPr>
          <w:ilvl w:val="0"/>
          <w:numId w:val="2"/>
        </w:numPr>
        <w:spacing w:after="120"/>
        <w:jc w:val="both"/>
      </w:pPr>
      <w:r>
        <w:t>Efetuar o pagamento na forma e prazo estabelecidos, após o recebimento definitivo dos bens;</w:t>
      </w:r>
    </w:p>
    <w:p w14:paraId="4518B71E" w14:textId="77777777" w:rsidR="002A4128" w:rsidRDefault="006D03C8">
      <w:pPr>
        <w:pStyle w:val="PargrafodaLista"/>
        <w:numPr>
          <w:ilvl w:val="0"/>
          <w:numId w:val="2"/>
        </w:numPr>
        <w:spacing w:after="120"/>
        <w:jc w:val="both"/>
      </w:pPr>
      <w:r>
        <w:t>Comunicar à Contratada, por escrito, eventuais irregularidades verificadas na execução do objeto;</w:t>
      </w:r>
    </w:p>
    <w:p w14:paraId="6035D4A3" w14:textId="77777777" w:rsidR="002A4128" w:rsidRDefault="006D03C8">
      <w:pPr>
        <w:pStyle w:val="PargrafodaLista"/>
        <w:numPr>
          <w:ilvl w:val="0"/>
          <w:numId w:val="2"/>
        </w:numPr>
        <w:spacing w:after="120"/>
        <w:jc w:val="both"/>
      </w:pPr>
      <w:r>
        <w:t>Fornecer, em tempo hábil, o layout do brasão municipal e os dizeres a serem bordados nos itens aplicáveis.</w:t>
      </w:r>
    </w:p>
    <w:p w14:paraId="0C2B49C9" w14:textId="77777777" w:rsidR="002A4128" w:rsidRDefault="006D03C8">
      <w:pPr>
        <w:pStyle w:val="Ttulo2"/>
      </w:pPr>
      <w:r>
        <w:t>8. Condições de Pagamento</w:t>
      </w:r>
    </w:p>
    <w:p w14:paraId="73BA4BF4" w14:textId="77777777" w:rsidR="002A4128" w:rsidRDefault="006D03C8">
      <w:pPr>
        <w:spacing w:after="160"/>
        <w:jc w:val="both"/>
      </w:pPr>
      <w:r>
        <w:t xml:space="preserve">O pagamento será efetuado em até 30 (trinta) dias corridos, contados do recebimento definitivo dos bens e da apresentação da respectiva nota fiscal, devidamente atestada pelo fiscal do contrato, </w:t>
      </w:r>
      <w:r>
        <w:lastRenderedPageBreak/>
        <w:t>mediante crédito em conta corrente da Contratada, observadas as exigências fiscais e a regularidade junto aos órgãos competentes.</w:t>
      </w:r>
    </w:p>
    <w:p w14:paraId="4D00C8B9" w14:textId="77777777" w:rsidR="002A4128" w:rsidRDefault="006D03C8">
      <w:pPr>
        <w:pStyle w:val="Ttulo2"/>
      </w:pPr>
      <w:r>
        <w:t>9. Garantia dos Bens</w:t>
      </w:r>
    </w:p>
    <w:p w14:paraId="32214F6D" w14:textId="77777777" w:rsidR="002A4128" w:rsidRDefault="006D03C8">
      <w:pPr>
        <w:spacing w:after="160"/>
        <w:jc w:val="both"/>
      </w:pPr>
      <w:r>
        <w:t>Os bens deverão possuir garantia mínima de 12 (doze) meses contra defeitos de fabricação, contados a partir do recebimento definitivo, sem prejuízo de prazo superior eventualmente ofertado pelo fabricante/fornecedor.</w:t>
      </w:r>
    </w:p>
    <w:p w14:paraId="42F0E9DB" w14:textId="77777777" w:rsidR="002A4128" w:rsidRDefault="006D03C8">
      <w:pPr>
        <w:pStyle w:val="Ttulo2"/>
      </w:pPr>
      <w:r>
        <w:t>10. Fiscalização da Contratação</w:t>
      </w:r>
    </w:p>
    <w:p w14:paraId="2F48478F" w14:textId="77777777" w:rsidR="002A4128" w:rsidRDefault="006D03C8">
      <w:pPr>
        <w:spacing w:after="160"/>
        <w:jc w:val="both"/>
      </w:pPr>
      <w:r>
        <w:t>A fiscalização da execução do ajuste ficará a cargo de servidor formalmente designado pela Secretaria Municipal de Saúde, ao qual competirá verificar a conformidade dos bens entregues com as especificações deste Termo de Referência, atestar notas fiscais e adotar as providências necessárias em caso de irregularidades, nos termos do art. 117 da Lei nº 14.133/2021.</w:t>
      </w:r>
    </w:p>
    <w:p w14:paraId="02EDF9FE" w14:textId="77777777" w:rsidR="002A4128" w:rsidRDefault="006D03C8">
      <w:pPr>
        <w:pStyle w:val="Ttulo2"/>
      </w:pPr>
      <w:r>
        <w:t>11. Sanções Administrativas</w:t>
      </w:r>
    </w:p>
    <w:p w14:paraId="7E9C2BDC" w14:textId="77777777" w:rsidR="002A4128" w:rsidRDefault="006D03C8">
      <w:pPr>
        <w:spacing w:after="160"/>
        <w:jc w:val="both"/>
      </w:pPr>
      <w:r>
        <w:t>Pela inexecução total ou parcial do objeto, a Contratada estará sujeita às sanções previstas nos arts. 155 a 163 da Lei nº 14.133/2021, sem prejuízo das demais cominações legais, incluindo advertência, multa, impedimento de licitar e contratar e declaração de inidoneidade, garantida a prévia defesa.</w:t>
      </w:r>
    </w:p>
    <w:p w14:paraId="484B85AB" w14:textId="77777777" w:rsidR="002A4128" w:rsidRDefault="006D03C8">
      <w:pPr>
        <w:pStyle w:val="Ttulo2"/>
      </w:pPr>
      <w:r>
        <w:t>12. Da Subcontratação</w:t>
      </w:r>
    </w:p>
    <w:p w14:paraId="1453CD83" w14:textId="77777777" w:rsidR="002A4128" w:rsidRDefault="006D03C8">
      <w:pPr>
        <w:spacing w:after="160"/>
        <w:jc w:val="both"/>
      </w:pPr>
      <w:r>
        <w:t>Não será admitida a subcontratação total ou parcial do objeto.</w:t>
      </w:r>
    </w:p>
    <w:p w14:paraId="6DFFCCA4" w14:textId="77777777" w:rsidR="002A4128" w:rsidRDefault="006D03C8">
      <w:pPr>
        <w:pStyle w:val="Ttulo2"/>
      </w:pPr>
      <w:r>
        <w:t>13. Da Formalização do Ajuste</w:t>
      </w:r>
    </w:p>
    <w:p w14:paraId="095A964F" w14:textId="77777777" w:rsidR="002A4128" w:rsidRDefault="006D03C8">
      <w:pPr>
        <w:spacing w:after="160"/>
        <w:jc w:val="both"/>
      </w:pPr>
      <w:r>
        <w:t>A contratação será formalizada por contrato administrativo ou instrumento equivalente (nota de empenho), nos termos do art. 95 da Lei nº 14.133/2021, vigorando até o cumprimento integral das obrigações de entrega, montagem e garantia.</w:t>
      </w:r>
    </w:p>
    <w:p w14:paraId="7345095F" w14:textId="77777777" w:rsidR="002A4128" w:rsidRDefault="006D03C8">
      <w:pPr>
        <w:pStyle w:val="Ttulo2"/>
      </w:pPr>
      <w:r>
        <w:t>14. Disposições Finais</w:t>
      </w:r>
    </w:p>
    <w:p w14:paraId="3A8575F3" w14:textId="77777777" w:rsidR="002A4128" w:rsidRDefault="006D03C8">
      <w:pPr>
        <w:spacing w:after="160"/>
        <w:jc w:val="both"/>
      </w:pPr>
      <w:r>
        <w:t>Este Termo de Referência integra o processo de Contratação Direta por Dispensa de Licitação, devendo ser observados, ainda, os termos do Despacho de Autorização e do Ato de Ratificação da Dispensa, bem como a publicação no Portal Nacional de Contratações Públicas (PNCP), como condição de eficácia, nos termos do art. 72, parágrafo único, da Lei nº 14.133/2021.</w:t>
      </w:r>
    </w:p>
    <w:p w14:paraId="2D0ACF9C" w14:textId="77777777" w:rsidR="002A4128" w:rsidRDefault="002A4128">
      <w:pPr>
        <w:spacing w:after="160"/>
        <w:jc w:val="both"/>
      </w:pPr>
    </w:p>
    <w:p w14:paraId="12CB4F78" w14:textId="77777777" w:rsidR="002A4128" w:rsidRDefault="006D03C8">
      <w:pPr>
        <w:spacing w:after="160"/>
        <w:jc w:val="both"/>
      </w:pPr>
      <w:r>
        <w:t>Ibirarema/SP, 30 de junho de 2026.</w:t>
      </w:r>
    </w:p>
    <w:p w14:paraId="1CB46020" w14:textId="77777777" w:rsidR="002A4128" w:rsidRDefault="002A4128">
      <w:pPr>
        <w:spacing w:after="160"/>
        <w:jc w:val="both"/>
      </w:pPr>
    </w:p>
    <w:p w14:paraId="4ED86193" w14:textId="77777777" w:rsidR="002A4128" w:rsidRDefault="002A4128">
      <w:pPr>
        <w:spacing w:after="160"/>
        <w:jc w:val="both"/>
      </w:pPr>
    </w:p>
    <w:p w14:paraId="5E2415D9" w14:textId="77777777" w:rsidR="002A4128" w:rsidRDefault="006D03C8">
      <w:pPr>
        <w:jc w:val="center"/>
      </w:pPr>
      <w:r>
        <w:t>_______________________________________</w:t>
      </w:r>
    </w:p>
    <w:p w14:paraId="296710AE" w14:textId="77777777" w:rsidR="002A4128" w:rsidRDefault="006D03C8">
      <w:pPr>
        <w:jc w:val="center"/>
      </w:pPr>
      <w:r>
        <w:rPr>
          <w:b/>
          <w:bCs/>
        </w:rPr>
        <w:t>Daniele Dionísio Alves</w:t>
      </w:r>
    </w:p>
    <w:p w14:paraId="71F7BDCC" w14:textId="77777777" w:rsidR="002A4128" w:rsidRDefault="006D03C8">
      <w:pPr>
        <w:jc w:val="center"/>
      </w:pPr>
      <w:r>
        <w:t>Diretora do Departamento de Saúde</w:t>
      </w:r>
    </w:p>
    <w:sectPr w:rsidR="002A4128" w:rsidSect="00BB4036">
      <w:headerReference w:type="default" r:id="rId7"/>
      <w:footerReference w:type="default" r:id="rId8"/>
      <w:pgSz w:w="12240" w:h="15840"/>
      <w:pgMar w:top="1701" w:right="1134" w:bottom="1134" w:left="1134" w:header="283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0A968" w14:textId="77777777" w:rsidR="00055ED3" w:rsidRDefault="00055ED3" w:rsidP="00BB4036">
      <w:r>
        <w:separator/>
      </w:r>
    </w:p>
  </w:endnote>
  <w:endnote w:type="continuationSeparator" w:id="0">
    <w:p w14:paraId="3755AEB8" w14:textId="77777777" w:rsidR="00055ED3" w:rsidRDefault="00055ED3" w:rsidP="00BB4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008A9" w14:textId="77777777" w:rsidR="00BB4036" w:rsidRPr="001E5CB2" w:rsidRDefault="00BB4036" w:rsidP="001E5CB2">
    <w:pPr>
      <w:jc w:val="center"/>
      <w:rPr>
        <w:rFonts w:ascii="Century Gothic" w:eastAsia="Times New Roman" w:hAnsi="Century Gothic"/>
        <w:b/>
        <w:sz w:val="16"/>
        <w:szCs w:val="16"/>
      </w:rPr>
    </w:pPr>
    <w:bookmarkStart w:id="2" w:name="_Hlk182223789"/>
    <w:bookmarkStart w:id="3" w:name="_Hlk182223790"/>
    <w:bookmarkStart w:id="4" w:name="_Hlk182223791"/>
    <w:bookmarkStart w:id="5" w:name="_Hlk182223792"/>
    <w:bookmarkStart w:id="6" w:name="_Hlk182224208"/>
    <w:bookmarkStart w:id="7" w:name="_Hlk182224209"/>
    <w:r w:rsidRPr="001E5CB2">
      <w:rPr>
        <w:rFonts w:ascii="Century Gothic" w:eastAsia="Times New Roman" w:hAnsi="Century Gothic"/>
        <w:b/>
        <w:sz w:val="16"/>
        <w:szCs w:val="16"/>
      </w:rPr>
      <w:t>MIT | MUNICÍPIO DE INTERESSE TURÍSTICO DE IBIRAREMA – TERRA DA LINGUIÇA</w:t>
    </w:r>
    <w:r>
      <w:rPr>
        <w:rFonts w:ascii="Century Gothic" w:eastAsia="Times New Roman" w:hAnsi="Century Gothic"/>
        <w:b/>
        <w:sz w:val="16"/>
        <w:szCs w:val="16"/>
      </w:rPr>
      <w:t xml:space="preserve"> E DO FEIJÃO CARIOCA</w:t>
    </w:r>
  </w:p>
  <w:p w14:paraId="26292233" w14:textId="77777777" w:rsidR="00BB4036" w:rsidRPr="001E5CB2" w:rsidRDefault="00BB4036" w:rsidP="001E5CB2">
    <w:pPr>
      <w:jc w:val="center"/>
      <w:rPr>
        <w:rFonts w:ascii="Century Gothic" w:eastAsia="Times New Roman" w:hAnsi="Century Gothic"/>
        <w:sz w:val="14"/>
        <w:szCs w:val="16"/>
      </w:rPr>
    </w:pPr>
    <w:r w:rsidRPr="001E5CB2">
      <w:rPr>
        <w:rFonts w:ascii="Century Gothic" w:eastAsia="Times New Roman" w:hAnsi="Century Gothic"/>
        <w:sz w:val="14"/>
        <w:szCs w:val="16"/>
      </w:rPr>
      <w:t>“PAPEL RECICLADO: IBIRAREMA CUIDANDO DO MEIO AMBIENTE”</w:t>
    </w:r>
    <w:bookmarkEnd w:id="2"/>
    <w:bookmarkEnd w:id="3"/>
    <w:bookmarkEnd w:id="4"/>
    <w:bookmarkEnd w:id="5"/>
    <w:bookmarkEnd w:id="6"/>
    <w:bookmarkEnd w:id="7"/>
  </w:p>
  <w:p w14:paraId="189A5E11" w14:textId="77777777" w:rsidR="00BB4036" w:rsidRDefault="00BB403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3457A" w14:textId="77777777" w:rsidR="00055ED3" w:rsidRDefault="00055ED3" w:rsidP="00BB4036">
      <w:r>
        <w:separator/>
      </w:r>
    </w:p>
  </w:footnote>
  <w:footnote w:type="continuationSeparator" w:id="0">
    <w:p w14:paraId="5CCA628D" w14:textId="77777777" w:rsidR="00055ED3" w:rsidRDefault="00055ED3" w:rsidP="00BB4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51D10" w14:textId="5A55B594" w:rsidR="00BB4036" w:rsidRPr="001E5CB2" w:rsidRDefault="00BB4036" w:rsidP="00C62648">
    <w:pPr>
      <w:ind w:left="709" w:right="1842"/>
      <w:jc w:val="center"/>
      <w:rPr>
        <w:rFonts w:ascii="Corbel" w:eastAsia="Times New Roman" w:hAnsi="Corbel"/>
        <w:sz w:val="20"/>
        <w:szCs w:val="26"/>
      </w:rPr>
    </w:pPr>
    <w:bookmarkStart w:id="0" w:name="_Hlk182224102"/>
    <w:bookmarkStart w:id="1" w:name="_Hlk182224103"/>
    <w:r w:rsidRPr="001E5CB2">
      <w:rPr>
        <w:rFonts w:ascii="Corbel" w:eastAsia="Times New Roman" w:hAnsi="Corbel"/>
        <w:noProof/>
        <w:sz w:val="20"/>
        <w:szCs w:val="26"/>
      </w:rPr>
      <w:drawing>
        <wp:anchor distT="0" distB="0" distL="114300" distR="114300" simplePos="0" relativeHeight="251659264" behindDoc="1" locked="0" layoutInCell="1" allowOverlap="1" wp14:anchorId="0D83DA71" wp14:editId="52C98B39">
          <wp:simplePos x="0" y="0"/>
          <wp:positionH relativeFrom="column">
            <wp:posOffset>-120015</wp:posOffset>
          </wp:positionH>
          <wp:positionV relativeFrom="paragraph">
            <wp:posOffset>-45720</wp:posOffset>
          </wp:positionV>
          <wp:extent cx="819150" cy="796290"/>
          <wp:effectExtent l="0" t="0" r="0" b="3810"/>
          <wp:wrapTight wrapText="bothSides">
            <wp:wrapPolygon edited="0">
              <wp:start x="5023" y="0"/>
              <wp:lineTo x="0" y="3617"/>
              <wp:lineTo x="0" y="18086"/>
              <wp:lineTo x="4521" y="21187"/>
              <wp:lineTo x="6530" y="21187"/>
              <wp:lineTo x="15070" y="21187"/>
              <wp:lineTo x="17079" y="21187"/>
              <wp:lineTo x="21098" y="18086"/>
              <wp:lineTo x="21098" y="1550"/>
              <wp:lineTo x="15070" y="0"/>
              <wp:lineTo x="5023" y="0"/>
            </wp:wrapPolygon>
          </wp:wrapTight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ão-mi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796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E5CB2">
      <w:rPr>
        <w:rFonts w:ascii="Corbel" w:eastAsia="Times New Roman" w:hAnsi="Corbel"/>
        <w:noProof/>
        <w:sz w:val="20"/>
        <w:szCs w:val="26"/>
      </w:rPr>
      <w:drawing>
        <wp:anchor distT="0" distB="0" distL="114300" distR="114300" simplePos="0" relativeHeight="251661312" behindDoc="1" locked="0" layoutInCell="1" allowOverlap="1" wp14:anchorId="7706FE17" wp14:editId="5C183E78">
          <wp:simplePos x="0" y="0"/>
          <wp:positionH relativeFrom="margin">
            <wp:posOffset>4964430</wp:posOffset>
          </wp:positionH>
          <wp:positionV relativeFrom="paragraph">
            <wp:posOffset>67310</wp:posOffset>
          </wp:positionV>
          <wp:extent cx="665480" cy="575945"/>
          <wp:effectExtent l="0" t="0" r="1270" b="0"/>
          <wp:wrapTight wrapText="bothSides">
            <wp:wrapPolygon edited="0">
              <wp:start x="4947" y="0"/>
              <wp:lineTo x="3710" y="1429"/>
              <wp:lineTo x="3092" y="11431"/>
              <wp:lineTo x="0" y="15003"/>
              <wp:lineTo x="0" y="20719"/>
              <wp:lineTo x="21023" y="20719"/>
              <wp:lineTo x="21023" y="15003"/>
              <wp:lineTo x="17931" y="11431"/>
              <wp:lineTo x="17313" y="1429"/>
              <wp:lineTo x="16076" y="0"/>
              <wp:lineTo x="4947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Municipios Paulistas Resilientes_cor-min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398" t="13168" r="24547" b="17050"/>
                  <a:stretch/>
                </pic:blipFill>
                <pic:spPr bwMode="auto">
                  <a:xfrm>
                    <a:off x="0" y="0"/>
                    <a:ext cx="665480" cy="575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E5CB2">
      <w:rPr>
        <w:rFonts w:ascii="Corbel" w:eastAsia="Times New Roman" w:hAnsi="Corbel"/>
        <w:noProof/>
        <w:sz w:val="20"/>
        <w:szCs w:val="26"/>
      </w:rPr>
      <w:drawing>
        <wp:anchor distT="0" distB="0" distL="114300" distR="114300" simplePos="0" relativeHeight="251660288" behindDoc="1" locked="0" layoutInCell="1" allowOverlap="1" wp14:anchorId="0C8146BD" wp14:editId="67F91A65">
          <wp:simplePos x="0" y="0"/>
          <wp:positionH relativeFrom="margin">
            <wp:posOffset>5665470</wp:posOffset>
          </wp:positionH>
          <wp:positionV relativeFrom="paragraph">
            <wp:posOffset>82550</wp:posOffset>
          </wp:positionV>
          <wp:extent cx="808990" cy="575945"/>
          <wp:effectExtent l="0" t="0" r="0" b="0"/>
          <wp:wrapTight wrapText="bothSides">
            <wp:wrapPolygon edited="0">
              <wp:start x="8647" y="0"/>
              <wp:lineTo x="6612" y="1429"/>
              <wp:lineTo x="0" y="10002"/>
              <wp:lineTo x="0" y="20719"/>
              <wp:lineTo x="20854" y="20719"/>
              <wp:lineTo x="20854" y="5716"/>
              <wp:lineTo x="12716" y="0"/>
              <wp:lineTo x="8647" y="0"/>
            </wp:wrapPolygon>
          </wp:wrapTight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ods-aberto-min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990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E5CB2">
      <w:rPr>
        <w:rFonts w:ascii="Century Gothic" w:eastAsia="Times New Roman" w:hAnsi="Century Gothic"/>
        <w:b/>
        <w:sz w:val="30"/>
        <w:szCs w:val="30"/>
      </w:rPr>
      <w:t>MUNICÍPIO DE IBIRAREMA</w:t>
    </w:r>
  </w:p>
  <w:p w14:paraId="2068D16C" w14:textId="77777777" w:rsidR="00BB4036" w:rsidRDefault="00BB4036" w:rsidP="00C62648">
    <w:pPr>
      <w:spacing w:line="360" w:lineRule="auto"/>
      <w:jc w:val="center"/>
      <w:rPr>
        <w:rFonts w:ascii="Century Gothic" w:eastAsia="Times New Roman" w:hAnsi="Century Gothic"/>
        <w:sz w:val="14"/>
        <w:szCs w:val="21"/>
      </w:rPr>
    </w:pPr>
    <w:r w:rsidRPr="001E5CB2">
      <w:rPr>
        <w:rFonts w:ascii="Century Gothic" w:eastAsia="Times New Roman" w:hAnsi="Century Gothic"/>
        <w:sz w:val="14"/>
        <w:szCs w:val="21"/>
      </w:rPr>
      <w:t>Rua Alexandre Simões de Almeida, 367 | CEP 19940-009 | Ibirarema (SP)</w:t>
    </w:r>
  </w:p>
  <w:p w14:paraId="7036D135" w14:textId="77777777" w:rsidR="00BB4036" w:rsidRPr="001E5CB2" w:rsidRDefault="00BB4036" w:rsidP="00C62648">
    <w:pPr>
      <w:spacing w:line="360" w:lineRule="auto"/>
      <w:jc w:val="center"/>
      <w:rPr>
        <w:rFonts w:ascii="Century Gothic" w:eastAsia="Times New Roman" w:hAnsi="Century Gothic"/>
        <w:sz w:val="14"/>
        <w:szCs w:val="21"/>
      </w:rPr>
    </w:pPr>
    <w:r w:rsidRPr="001E5CB2">
      <w:rPr>
        <w:rFonts w:ascii="Century Gothic" w:eastAsia="Times New Roman" w:hAnsi="Century Gothic"/>
        <w:sz w:val="14"/>
        <w:szCs w:val="21"/>
      </w:rPr>
      <w:t xml:space="preserve">ibirarema.sp.gov.br | </w:t>
    </w:r>
    <w:r>
      <w:rPr>
        <w:rFonts w:ascii="Century Gothic" w:eastAsia="Times New Roman" w:hAnsi="Century Gothic"/>
        <w:sz w:val="14"/>
        <w:szCs w:val="21"/>
      </w:rPr>
      <w:t>licitacao</w:t>
    </w:r>
    <w:r w:rsidRPr="001E5CB2">
      <w:rPr>
        <w:rFonts w:ascii="Century Gothic" w:eastAsia="Times New Roman" w:hAnsi="Century Gothic"/>
        <w:sz w:val="14"/>
        <w:szCs w:val="21"/>
      </w:rPr>
      <w:t>@ibirarema.sp.gov.br | (14) 3307.1422</w:t>
    </w:r>
  </w:p>
  <w:bookmarkEnd w:id="0"/>
  <w:bookmarkEnd w:id="1"/>
  <w:p w14:paraId="0204C835" w14:textId="780877C1" w:rsidR="00BB4036" w:rsidRPr="001E5CB2" w:rsidRDefault="009B089D" w:rsidP="00C62648">
    <w:pPr>
      <w:spacing w:line="360" w:lineRule="auto"/>
      <w:jc w:val="center"/>
      <w:rPr>
        <w:rFonts w:ascii="Century Gothic" w:eastAsia="Times New Roman" w:hAnsi="Century Gothic"/>
        <w:b/>
        <w:sz w:val="16"/>
        <w:szCs w:val="21"/>
      </w:rPr>
    </w:pPr>
    <w:r>
      <w:rPr>
        <w:rFonts w:ascii="Century Gothic" w:eastAsia="Times New Roman" w:hAnsi="Century Gothic"/>
        <w:b/>
        <w:sz w:val="16"/>
        <w:szCs w:val="21"/>
      </w:rPr>
      <w:t>DEPARTAMENTO DE SAÚDE</w:t>
    </w:r>
  </w:p>
  <w:p w14:paraId="02F2E908" w14:textId="77777777" w:rsidR="00BB4036" w:rsidRDefault="00BB403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637D"/>
    <w:multiLevelType w:val="hybridMultilevel"/>
    <w:tmpl w:val="004CB94A"/>
    <w:lvl w:ilvl="0" w:tplc="D938E688">
      <w:start w:val="1"/>
      <w:numFmt w:val="decimal"/>
      <w:lvlText w:val="%1."/>
      <w:lvlJc w:val="left"/>
      <w:pPr>
        <w:ind w:left="720" w:hanging="360"/>
      </w:pPr>
    </w:lvl>
    <w:lvl w:ilvl="1" w:tplc="744020F4">
      <w:numFmt w:val="decimal"/>
      <w:lvlText w:val=""/>
      <w:lvlJc w:val="left"/>
    </w:lvl>
    <w:lvl w:ilvl="2" w:tplc="78CE0A4E">
      <w:numFmt w:val="decimal"/>
      <w:lvlText w:val=""/>
      <w:lvlJc w:val="left"/>
    </w:lvl>
    <w:lvl w:ilvl="3" w:tplc="92E4CB68">
      <w:numFmt w:val="decimal"/>
      <w:lvlText w:val=""/>
      <w:lvlJc w:val="left"/>
    </w:lvl>
    <w:lvl w:ilvl="4" w:tplc="D2AA7AE2">
      <w:numFmt w:val="decimal"/>
      <w:lvlText w:val=""/>
      <w:lvlJc w:val="left"/>
    </w:lvl>
    <w:lvl w:ilvl="5" w:tplc="AA82C116">
      <w:numFmt w:val="decimal"/>
      <w:lvlText w:val=""/>
      <w:lvlJc w:val="left"/>
    </w:lvl>
    <w:lvl w:ilvl="6" w:tplc="E12E6180">
      <w:numFmt w:val="decimal"/>
      <w:lvlText w:val=""/>
      <w:lvlJc w:val="left"/>
    </w:lvl>
    <w:lvl w:ilvl="7" w:tplc="C3D2DDC0">
      <w:numFmt w:val="decimal"/>
      <w:lvlText w:val=""/>
      <w:lvlJc w:val="left"/>
    </w:lvl>
    <w:lvl w:ilvl="8" w:tplc="B91E52BE">
      <w:numFmt w:val="decimal"/>
      <w:lvlText w:val=""/>
      <w:lvlJc w:val="left"/>
    </w:lvl>
  </w:abstractNum>
  <w:abstractNum w:abstractNumId="1" w15:restartNumberingAfterBreak="0">
    <w:nsid w:val="1F052B3D"/>
    <w:multiLevelType w:val="hybridMultilevel"/>
    <w:tmpl w:val="DF986902"/>
    <w:lvl w:ilvl="0" w:tplc="D414B856">
      <w:start w:val="1"/>
      <w:numFmt w:val="bullet"/>
      <w:lvlText w:val="•"/>
      <w:lvlJc w:val="left"/>
      <w:pPr>
        <w:ind w:left="720" w:hanging="360"/>
      </w:pPr>
    </w:lvl>
    <w:lvl w:ilvl="1" w:tplc="4EDE0AE8">
      <w:numFmt w:val="decimal"/>
      <w:lvlText w:val=""/>
      <w:lvlJc w:val="left"/>
    </w:lvl>
    <w:lvl w:ilvl="2" w:tplc="CF5ECE66">
      <w:numFmt w:val="decimal"/>
      <w:lvlText w:val=""/>
      <w:lvlJc w:val="left"/>
    </w:lvl>
    <w:lvl w:ilvl="3" w:tplc="A0DCBF46">
      <w:numFmt w:val="decimal"/>
      <w:lvlText w:val=""/>
      <w:lvlJc w:val="left"/>
    </w:lvl>
    <w:lvl w:ilvl="4" w:tplc="5D281A18">
      <w:numFmt w:val="decimal"/>
      <w:lvlText w:val=""/>
      <w:lvlJc w:val="left"/>
    </w:lvl>
    <w:lvl w:ilvl="5" w:tplc="6540D410">
      <w:numFmt w:val="decimal"/>
      <w:lvlText w:val=""/>
      <w:lvlJc w:val="left"/>
    </w:lvl>
    <w:lvl w:ilvl="6" w:tplc="1C149EBE">
      <w:numFmt w:val="decimal"/>
      <w:lvlText w:val=""/>
      <w:lvlJc w:val="left"/>
    </w:lvl>
    <w:lvl w:ilvl="7" w:tplc="60F648D2">
      <w:numFmt w:val="decimal"/>
      <w:lvlText w:val=""/>
      <w:lvlJc w:val="left"/>
    </w:lvl>
    <w:lvl w:ilvl="8" w:tplc="32EE29CE">
      <w:numFmt w:val="decimal"/>
      <w:lvlText w:val=""/>
      <w:lvlJc w:val="left"/>
    </w:lvl>
  </w:abstractNum>
  <w:abstractNum w:abstractNumId="2" w15:restartNumberingAfterBreak="0">
    <w:nsid w:val="35C62CDB"/>
    <w:multiLevelType w:val="hybridMultilevel"/>
    <w:tmpl w:val="0478DA8E"/>
    <w:lvl w:ilvl="0" w:tplc="2DD6F298">
      <w:start w:val="1"/>
      <w:numFmt w:val="bullet"/>
      <w:lvlText w:val="●"/>
      <w:lvlJc w:val="left"/>
      <w:pPr>
        <w:ind w:left="720" w:hanging="360"/>
      </w:pPr>
    </w:lvl>
    <w:lvl w:ilvl="1" w:tplc="6B10A7BA">
      <w:start w:val="1"/>
      <w:numFmt w:val="bullet"/>
      <w:lvlText w:val="○"/>
      <w:lvlJc w:val="left"/>
      <w:pPr>
        <w:ind w:left="1440" w:hanging="360"/>
      </w:pPr>
    </w:lvl>
    <w:lvl w:ilvl="2" w:tplc="35546818">
      <w:start w:val="1"/>
      <w:numFmt w:val="bullet"/>
      <w:lvlText w:val="■"/>
      <w:lvlJc w:val="left"/>
      <w:pPr>
        <w:ind w:left="2160" w:hanging="360"/>
      </w:pPr>
    </w:lvl>
    <w:lvl w:ilvl="3" w:tplc="EE4EB420">
      <w:start w:val="1"/>
      <w:numFmt w:val="bullet"/>
      <w:lvlText w:val="●"/>
      <w:lvlJc w:val="left"/>
      <w:pPr>
        <w:ind w:left="2880" w:hanging="360"/>
      </w:pPr>
    </w:lvl>
    <w:lvl w:ilvl="4" w:tplc="A49A5AE2">
      <w:start w:val="1"/>
      <w:numFmt w:val="bullet"/>
      <w:lvlText w:val="○"/>
      <w:lvlJc w:val="left"/>
      <w:pPr>
        <w:ind w:left="3600" w:hanging="360"/>
      </w:pPr>
    </w:lvl>
    <w:lvl w:ilvl="5" w:tplc="EC1ECD7E">
      <w:start w:val="1"/>
      <w:numFmt w:val="bullet"/>
      <w:lvlText w:val="■"/>
      <w:lvlJc w:val="left"/>
      <w:pPr>
        <w:ind w:left="4320" w:hanging="360"/>
      </w:pPr>
    </w:lvl>
    <w:lvl w:ilvl="6" w:tplc="0602EDC2">
      <w:start w:val="1"/>
      <w:numFmt w:val="bullet"/>
      <w:lvlText w:val="●"/>
      <w:lvlJc w:val="left"/>
      <w:pPr>
        <w:ind w:left="5040" w:hanging="360"/>
      </w:pPr>
    </w:lvl>
    <w:lvl w:ilvl="7" w:tplc="CC8A89E0">
      <w:start w:val="1"/>
      <w:numFmt w:val="bullet"/>
      <w:lvlText w:val="●"/>
      <w:lvlJc w:val="left"/>
      <w:pPr>
        <w:ind w:left="5760" w:hanging="360"/>
      </w:pPr>
    </w:lvl>
    <w:lvl w:ilvl="8" w:tplc="C65A2528">
      <w:start w:val="1"/>
      <w:numFmt w:val="bullet"/>
      <w:lvlText w:val="●"/>
      <w:lvlJc w:val="left"/>
      <w:pPr>
        <w:ind w:left="6480" w:hanging="360"/>
      </w:pPr>
    </w:lvl>
  </w:abstractNum>
  <w:num w:numId="1" w16cid:durableId="1714576774">
    <w:abstractNumId w:val="2"/>
    <w:lvlOverride w:ilvl="0">
      <w:startOverride w:val="1"/>
    </w:lvlOverride>
  </w:num>
  <w:num w:numId="2" w16cid:durableId="92773057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128"/>
    <w:rsid w:val="00055ED3"/>
    <w:rsid w:val="002A4128"/>
    <w:rsid w:val="003C3FA2"/>
    <w:rsid w:val="0058790A"/>
    <w:rsid w:val="0067131D"/>
    <w:rsid w:val="006A41A5"/>
    <w:rsid w:val="006D03C8"/>
    <w:rsid w:val="009B089D"/>
    <w:rsid w:val="00BB4036"/>
    <w:rsid w:val="00C2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E4AFF"/>
  <w15:docId w15:val="{5DCA80E4-D8D6-4DBB-AF5C-D43454905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spacing w:before="300" w:after="200"/>
      <w:outlineLvl w:val="0"/>
    </w:pPr>
    <w:rPr>
      <w:b/>
      <w:bCs/>
      <w:color w:val="1F4E78"/>
      <w:sz w:val="28"/>
      <w:szCs w:val="28"/>
    </w:rPr>
  </w:style>
  <w:style w:type="paragraph" w:styleId="Ttulo2">
    <w:name w:val="heading 2"/>
    <w:uiPriority w:val="9"/>
    <w:unhideWhenUsed/>
    <w:qFormat/>
    <w:pPr>
      <w:spacing w:before="200" w:after="160"/>
      <w:outlineLvl w:val="1"/>
    </w:pPr>
    <w:rPr>
      <w:b/>
      <w:bCs/>
      <w:color w:val="2E75B6"/>
      <w:sz w:val="24"/>
      <w:szCs w:val="24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unhideWhenUsed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B403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B4036"/>
  </w:style>
  <w:style w:type="paragraph" w:styleId="Rodap">
    <w:name w:val="footer"/>
    <w:basedOn w:val="Normal"/>
    <w:link w:val="RodapChar"/>
    <w:uiPriority w:val="99"/>
    <w:unhideWhenUsed/>
    <w:rsid w:val="00BB403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B40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1314</Words>
  <Characters>7100</Characters>
  <Application>Microsoft Office Word</Application>
  <DocSecurity>0</DocSecurity>
  <Lines>59</Lines>
  <Paragraphs>16</Paragraphs>
  <ScaleCrop>false</ScaleCrop>
  <Company/>
  <LinksUpToDate>false</LinksUpToDate>
  <CharactersWithSpaces>8398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Pedro Rafael Aparecido Barbosa</cp:lastModifiedBy>
  <cp:revision>4</cp:revision>
  <dcterms:created xsi:type="dcterms:W3CDTF">2026-06-30T17:58:00Z</dcterms:created>
  <dcterms:modified xsi:type="dcterms:W3CDTF">2026-07-08T19:33:00Z</dcterms:modified>
</cp:coreProperties>
</file>