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0361B" w14:textId="365C0C6C" w:rsidR="004B1765" w:rsidRPr="004B1765" w:rsidRDefault="004B1765" w:rsidP="00013181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3FB61C5E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AD0CA4">
        <w:rPr>
          <w:rFonts w:ascii="Arial" w:hAnsi="Arial" w:cs="Arial"/>
          <w:sz w:val="24"/>
          <w:szCs w:val="24"/>
        </w:rPr>
        <w:t xml:space="preserve"> Departamento de Meio Ambiente.</w:t>
      </w:r>
    </w:p>
    <w:p w14:paraId="697B897C" w14:textId="03CA43EB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AD0CA4">
        <w:rPr>
          <w:rFonts w:ascii="Arial" w:hAnsi="Arial" w:cs="Arial"/>
          <w:sz w:val="24"/>
          <w:szCs w:val="24"/>
        </w:rPr>
        <w:t xml:space="preserve"> Bianca Wallid Gonçalves Awada.</w:t>
      </w:r>
    </w:p>
    <w:p w14:paraId="435639E1" w14:textId="21D5DFC6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AD0CA4">
        <w:rPr>
          <w:rFonts w:ascii="Arial" w:hAnsi="Arial" w:cs="Arial"/>
          <w:sz w:val="24"/>
          <w:szCs w:val="24"/>
        </w:rPr>
        <w:t xml:space="preserve"> Diretora do Departamento de Meio Ambiente.</w:t>
      </w:r>
    </w:p>
    <w:p w14:paraId="5DF752CA" w14:textId="4E875D5A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AD0CA4">
        <w:rPr>
          <w:rFonts w:ascii="Arial" w:hAnsi="Arial" w:cs="Arial"/>
          <w:sz w:val="24"/>
          <w:szCs w:val="24"/>
        </w:rPr>
        <w:t xml:space="preserve"> meioambiente@ibirarema.sp.gov.br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7AC85F68" w:rsidR="00E17282" w:rsidRDefault="00E17282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>Contratação</w:t>
      </w:r>
      <w:r w:rsidR="00DB2BD2">
        <w:rPr>
          <w:rFonts w:ascii="Arial" w:hAnsi="Arial" w:cs="Arial"/>
          <w:sz w:val="24"/>
          <w:szCs w:val="24"/>
        </w:rPr>
        <w:t xml:space="preserve"> de </w:t>
      </w:r>
      <w:r w:rsidR="00AD0CA4">
        <w:rPr>
          <w:rFonts w:ascii="Arial" w:hAnsi="Arial" w:cs="Arial"/>
          <w:sz w:val="24"/>
          <w:szCs w:val="24"/>
        </w:rPr>
        <w:t>Empresa Especializada em Assessoria e Consultoria Técnica visando a Implantação de Políticas Públicas de desenvolvimento Sustentável no Município de Ibirarema/SP</w:t>
      </w:r>
      <w:r>
        <w:rPr>
          <w:rFonts w:ascii="Arial" w:eastAsia="Times New Roman" w:hAnsi="Arial" w:cs="Arial"/>
          <w:sz w:val="24"/>
          <w:szCs w:val="24"/>
          <w:lang w:eastAsia="pt-BR"/>
        </w:rPr>
        <w:t>, conforme as quantidades, especificações e requisitos integrantes do ETP (Estudo Técnico Preliminar) e TR (Termo de Referência).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7" w:type="dxa"/>
        <w:tblInd w:w="-289" w:type="dxa"/>
        <w:tblLook w:val="04A0" w:firstRow="1" w:lastRow="0" w:firstColumn="1" w:lastColumn="0" w:noHBand="0" w:noVBand="1"/>
      </w:tblPr>
      <w:tblGrid>
        <w:gridCol w:w="710"/>
        <w:gridCol w:w="883"/>
        <w:gridCol w:w="972"/>
        <w:gridCol w:w="7642"/>
      </w:tblGrid>
      <w:tr w:rsidR="00DB2BD2" w14:paraId="40B3C790" w14:textId="77777777" w:rsidTr="00B90644">
        <w:trPr>
          <w:trHeight w:val="454"/>
        </w:trPr>
        <w:tc>
          <w:tcPr>
            <w:tcW w:w="710" w:type="dxa"/>
            <w:vAlign w:val="center"/>
          </w:tcPr>
          <w:p w14:paraId="63F11559" w14:textId="3BE680D4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883" w:type="dxa"/>
            <w:vAlign w:val="center"/>
          </w:tcPr>
          <w:p w14:paraId="32CCEB06" w14:textId="15C9D99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965" w:type="dxa"/>
            <w:vAlign w:val="center"/>
          </w:tcPr>
          <w:p w14:paraId="7A610A09" w14:textId="77FD84C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7649" w:type="dxa"/>
            <w:vAlign w:val="center"/>
          </w:tcPr>
          <w:p w14:paraId="77CAF8B2" w14:textId="5ED06D4D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DB2BD2" w14:paraId="2A427E88" w14:textId="77777777" w:rsidTr="00B90644">
        <w:trPr>
          <w:trHeight w:val="454"/>
        </w:trPr>
        <w:tc>
          <w:tcPr>
            <w:tcW w:w="710" w:type="dxa"/>
          </w:tcPr>
          <w:p w14:paraId="4BFBC5BD" w14:textId="0D9D91C7" w:rsidR="00DB2BD2" w:rsidRPr="00DB2BD2" w:rsidRDefault="00DB2BD2" w:rsidP="00B9064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83" w:type="dxa"/>
          </w:tcPr>
          <w:p w14:paraId="14DDC91E" w14:textId="0B85690B" w:rsidR="00DB2BD2" w:rsidRPr="00DB2BD2" w:rsidRDefault="00316C20" w:rsidP="00B9064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Serviço</w:t>
            </w:r>
          </w:p>
        </w:tc>
        <w:tc>
          <w:tcPr>
            <w:tcW w:w="965" w:type="dxa"/>
          </w:tcPr>
          <w:p w14:paraId="1B793521" w14:textId="730BEB66" w:rsidR="00DB2BD2" w:rsidRPr="00DB2BD2" w:rsidRDefault="00316C20" w:rsidP="00B90644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7649" w:type="dxa"/>
            <w:vAlign w:val="center"/>
          </w:tcPr>
          <w:p w14:paraId="6FEB1E5F" w14:textId="017737CD" w:rsidR="00B90644" w:rsidRPr="00B90644" w:rsidRDefault="00B90644" w:rsidP="00B90644">
            <w:pPr>
              <w:spacing w:before="120" w:line="276" w:lineRule="auto"/>
              <w:jc w:val="both"/>
              <w:rPr>
                <w:rFonts w:ascii="Arial" w:hAnsi="Arial" w:cs="Arial"/>
              </w:rPr>
            </w:pPr>
            <w:r w:rsidRPr="00B90644">
              <w:rPr>
                <w:rFonts w:ascii="Arial" w:hAnsi="Arial" w:cs="Arial"/>
              </w:rPr>
              <w:t>Prestação de serviços técnicos especializados de assessoria e consultoria técnica multidisciplinar para a implantação, acompanhamento, monitoramento e consolidação de políticas públicas de desenvolvimento sustentável no Município de Ibirarema/SP, abrangendo suporte técnico continuado à Administração Municipal, com foco na área ambiental, climática, de gestão pública sustentável e de conformidade legal.</w:t>
            </w:r>
          </w:p>
          <w:p w14:paraId="537C71D5" w14:textId="76143D0E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90644">
              <w:rPr>
                <w:rFonts w:ascii="Arial" w:hAnsi="Arial" w:cs="Arial"/>
              </w:rPr>
              <w:t>Os serviços deverão compreender, de forma integrada e contínua, planejamento estratégico, orientação técnica, elaboração, revisão, atualização e acompanhamento de planos, programas, relatórios e instrumentos de gestão ambiental e sustentável, bem como assessoramento técnico para atendimento às exigências legais, normativas e institucionais de órgãos estaduais, federais e sistemas de avaliação.</w:t>
            </w:r>
          </w:p>
          <w:p w14:paraId="5D3F42EA" w14:textId="75B32EB8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B90644">
              <w:rPr>
                <w:rFonts w:ascii="Arial" w:hAnsi="Arial" w:cs="Arial"/>
              </w:rPr>
              <w:t>Incluem-se no objeto, dentre outras atividades correlatas e complementares:</w:t>
            </w:r>
          </w:p>
          <w:p w14:paraId="456A9451" w14:textId="779A730D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Assessoria técnica especializada para atendimento às diretrizes da Agenda 2030 e aos Objetivos de Desenvolvimento Sustentável (ODS);</w:t>
            </w:r>
          </w:p>
          <w:p w14:paraId="448B80CC" w14:textId="6400477B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Apoio técnico à implementação e manutenção da Agenda Ambiental na Administração Pública (A3P);</w:t>
            </w:r>
          </w:p>
          <w:p w14:paraId="3BDAAFB3" w14:textId="4DFE7443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Assessoria técnica para participação, monitoramento e pontuação em programas estaduais, tais como Programa Município VerdeAzul (PMVA) e Município Agro (MunAgro);</w:t>
            </w:r>
          </w:p>
          <w:p w14:paraId="5CF7F0FC" w14:textId="7D84148D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Suporte técnico relacionado a processos de licenciamento ambiental junto à CETESB, incluindo orientações técnicas, acompanhamento de condicionantes e adequações normativas;</w:t>
            </w:r>
          </w:p>
          <w:p w14:paraId="1E5F95D5" w14:textId="01DE23FD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Apoio técnico especializado no preenchimento, acompanhamento e validação de questionários e sistemas institucionais, tais como:</w:t>
            </w:r>
          </w:p>
          <w:p w14:paraId="315F49A7" w14:textId="5B448F3F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     - </w:t>
            </w:r>
            <w:r w:rsidRPr="00B90644">
              <w:rPr>
                <w:rFonts w:ascii="Arial" w:hAnsi="Arial" w:cs="Arial"/>
              </w:rPr>
              <w:t>Índice de Efetividade da Gestão Municipal (IEG-M/TCESP) – módulos i-Ambiental e i-Cidades;</w:t>
            </w:r>
          </w:p>
          <w:p w14:paraId="26854FB1" w14:textId="1D5A4452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Sistema Nacional de Informações em Saneamento Básico (SINISA);</w:t>
            </w:r>
          </w:p>
          <w:p w14:paraId="67DB2912" w14:textId="0951AC04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Índice de Qualidade de Resíduos (IQR), vinculado ao ICMS Ambiental;</w:t>
            </w:r>
          </w:p>
          <w:p w14:paraId="337BC761" w14:textId="18B7823E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Assessoria técnica para elaboração, revisão, atualização e/ou acompanhamento da implementação dos seguintes planos municipais obrigatórios ou estratégicos, conforme a necessidade do Município:</w:t>
            </w:r>
          </w:p>
          <w:p w14:paraId="48458FAD" w14:textId="6735A772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Adaptação e Resiliência Climática (PMARC);</w:t>
            </w:r>
          </w:p>
          <w:p w14:paraId="02D19220" w14:textId="048366D8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Arborização Urbana (PMAU);</w:t>
            </w:r>
          </w:p>
          <w:p w14:paraId="640379FE" w14:textId="1B3FBE3B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Bacia Hidrográfica e Recursos Hídricos (PMBHRH);</w:t>
            </w:r>
          </w:p>
          <w:p w14:paraId="6BAB5290" w14:textId="09C522E2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Desenvolvimento Rural Sustentável (PMDRS);</w:t>
            </w:r>
          </w:p>
          <w:p w14:paraId="4AE6C903" w14:textId="28EE26A9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Educação Ambiental (PMEA);</w:t>
            </w:r>
          </w:p>
          <w:p w14:paraId="10590F79" w14:textId="3F651916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Gestão Integrada de Resíduos Sólidos (PMGIRS);</w:t>
            </w:r>
          </w:p>
          <w:p w14:paraId="51616B50" w14:textId="6E0E7538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Gestão de Resíduos da Construção Civil (PMGRCC);</w:t>
            </w:r>
          </w:p>
          <w:p w14:paraId="4A35C7ED" w14:textId="5E03E56B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Gestão de Resíduos de Serviços de Saúde (PMGRSS);</w:t>
            </w:r>
          </w:p>
          <w:p w14:paraId="19813EB3" w14:textId="7C2A1190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Contingência – Proteção e Defesa Civil (PMC-PDC);</w:t>
            </w:r>
          </w:p>
          <w:p w14:paraId="0C658298" w14:textId="0F004CAD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Mata Atlântica e Cerrado (PMMAeC);</w:t>
            </w:r>
          </w:p>
          <w:p w14:paraId="6871A433" w14:textId="6C67D4A0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- </w:t>
            </w:r>
            <w:r w:rsidRPr="00B90644">
              <w:rPr>
                <w:rFonts w:ascii="Arial" w:hAnsi="Arial" w:cs="Arial"/>
              </w:rPr>
              <w:t>Plano Municipal de Segurança Alimentar e Nutricional Sustentável (PMSEA);</w:t>
            </w:r>
          </w:p>
          <w:p w14:paraId="4511D252" w14:textId="3FCED995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Apoio técnico à articulação intersetorial entre os diversos departamentos da Administração Municipal;</w:t>
            </w:r>
          </w:p>
          <w:p w14:paraId="40E7DAFF" w14:textId="65983D86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Orientação técnica para captação de recursos, participação em programas, editais, convênios e fundos ambientais;</w:t>
            </w:r>
          </w:p>
          <w:p w14:paraId="56815117" w14:textId="087FFE06" w:rsidR="00B90644" w:rsidRPr="00B90644" w:rsidRDefault="00B90644" w:rsidP="00B90644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B90644">
              <w:rPr>
                <w:rFonts w:ascii="Arial" w:hAnsi="Arial" w:cs="Arial"/>
              </w:rPr>
              <w:t>Elaboração de relatórios técnicos, pareceres, diagnósticos, notas técnicas e documentos correlatos, sempre que demandado pela Administração.</w:t>
            </w:r>
          </w:p>
          <w:p w14:paraId="13F7F36E" w14:textId="3A10BF44" w:rsidR="00DB2BD2" w:rsidRPr="00DB2BD2" w:rsidRDefault="00B90644" w:rsidP="00B90644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B90644">
              <w:rPr>
                <w:rFonts w:ascii="Arial" w:hAnsi="Arial" w:cs="Arial"/>
              </w:rPr>
              <w:t>Os serviços deverão ser prestados de forma contínua, técnica e especializada, com observância à legislação ambiental vigente, às normas administrativas aplicáveis e às boas práticas de gestão pública sustentável, garantindo suporte técnico qualificado ao Município durante todo o período contratual.</w:t>
            </w:r>
          </w:p>
        </w:tc>
      </w:tr>
    </w:tbl>
    <w:p w14:paraId="7B5F76DF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8604FBC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268A207" w14:textId="2C8F7501" w:rsidR="00AD0CA4" w:rsidRPr="00AD0CA4" w:rsidRDefault="00E17282" w:rsidP="00AD0C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17282">
        <w:rPr>
          <w:rFonts w:ascii="Arial" w:hAnsi="Arial" w:cs="Arial"/>
          <w:sz w:val="24"/>
          <w:szCs w:val="24"/>
        </w:rPr>
        <w:t>Esta contratação faz-se necessária</w:t>
      </w:r>
      <w:r w:rsidR="00DB2BD2">
        <w:rPr>
          <w:rFonts w:ascii="Arial" w:hAnsi="Arial" w:cs="Arial"/>
          <w:sz w:val="24"/>
          <w:szCs w:val="24"/>
        </w:rPr>
        <w:t xml:space="preserve"> </w:t>
      </w:r>
      <w:r w:rsidR="00AD0CA4">
        <w:rPr>
          <w:rFonts w:ascii="Arial" w:hAnsi="Arial" w:cs="Arial"/>
          <w:sz w:val="24"/>
          <w:szCs w:val="24"/>
        </w:rPr>
        <w:t>tendo em vista que, nos últimos anos, o Município de Ibirarema/SP vem intensificando</w:t>
      </w:r>
      <w:r w:rsidR="00AD0CA4" w:rsidRPr="00AD0CA4">
        <w:t xml:space="preserve"> </w:t>
      </w:r>
      <w:r w:rsidR="00AD0CA4" w:rsidRPr="00AD0CA4">
        <w:rPr>
          <w:rFonts w:ascii="Arial" w:hAnsi="Arial" w:cs="Arial"/>
          <w:sz w:val="24"/>
          <w:szCs w:val="24"/>
        </w:rPr>
        <w:t>suas ações voltadas à sustentabilidade, à proteção ambiental e a mitigação das mudanças climáticas. Programas governamentais como a Agenda 2030 – 18 Objetivos de Desenvolvimento Sustentável (ODS), a Agenda Ambiental na Administração Pública (A3P), o Município VerdeAzul (PMVA), o Município Agro (MunAgro), o processo de licenciamento ambiental da CETESB, a consultoria jurídica ambiental, entre outras exigências legais e normativas estaduais e federais, impõem ao poder público local uma atuação estruturada, intersetorial e tecnicamente qualificada.</w:t>
      </w:r>
    </w:p>
    <w:p w14:paraId="7112B718" w14:textId="16B9F22C" w:rsidR="004B1765" w:rsidRDefault="00AD0CA4" w:rsidP="00AD0CA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AD0CA4">
        <w:rPr>
          <w:rFonts w:ascii="Arial" w:hAnsi="Arial" w:cs="Arial"/>
          <w:sz w:val="24"/>
          <w:szCs w:val="24"/>
        </w:rPr>
        <w:t>Além disso, o município deve atender a exigências oriundas de diversos sistemas de monitoramento e avaliação institucional, por meio dos seguintes questionários:</w:t>
      </w:r>
    </w:p>
    <w:p w14:paraId="0021B10C" w14:textId="4EA1E6ED" w:rsidR="00AD0CA4" w:rsidRDefault="00AD0CA4" w:rsidP="00AD0CA4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3.1.</w:t>
      </w:r>
      <w:r>
        <w:t xml:space="preserve"> </w:t>
      </w:r>
      <w:r w:rsidRPr="00AD0CA4">
        <w:rPr>
          <w:rFonts w:ascii="Arial" w:hAnsi="Arial" w:cs="Arial"/>
          <w:sz w:val="24"/>
          <w:szCs w:val="24"/>
        </w:rPr>
        <w:t>Questionário do Índice de Efetividade da Gestão Municipal (IEG-M) do Tribunal de Contas do Estado de São Paulo (TCESP) – módulos i-Ambiental e i-Cidades;</w:t>
      </w:r>
    </w:p>
    <w:p w14:paraId="0E7DF878" w14:textId="5E9D3F54" w:rsidR="00AD0CA4" w:rsidRDefault="00AD0CA4" w:rsidP="00AD0CA4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3.2. </w:t>
      </w:r>
      <w:r w:rsidRPr="00AD0CA4">
        <w:rPr>
          <w:rFonts w:ascii="Arial" w:hAnsi="Arial" w:cs="Arial"/>
          <w:sz w:val="24"/>
          <w:szCs w:val="24"/>
        </w:rPr>
        <w:t>Questionário do Sistema Nacional de Informações em Saneamento Básico (SINISA) do Ministério das Cidades</w:t>
      </w:r>
    </w:p>
    <w:p w14:paraId="21C8FE62" w14:textId="01F3290E" w:rsidR="00AD0CA4" w:rsidRDefault="00AD0CA4" w:rsidP="00AD0CA4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3.3. </w:t>
      </w:r>
      <w:r w:rsidRPr="00AD0CA4">
        <w:rPr>
          <w:rFonts w:ascii="Arial" w:hAnsi="Arial" w:cs="Arial"/>
          <w:sz w:val="24"/>
          <w:szCs w:val="24"/>
        </w:rPr>
        <w:t>Questionário do Índice de Qualidade de Resíduos (IQR), vinculado ao ICMS Ambiental da Secretaria Estadual de Meio Ambiente, Infraestrutura e Logística (SEMIL-SP).</w:t>
      </w:r>
    </w:p>
    <w:p w14:paraId="45D8348A" w14:textId="76DDF17D" w:rsidR="00AD0CA4" w:rsidRDefault="00AD0CA4" w:rsidP="00AD0CA4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 </w:t>
      </w:r>
      <w:r w:rsidRPr="00AD0CA4">
        <w:rPr>
          <w:rFonts w:ascii="Arial" w:hAnsi="Arial" w:cs="Arial"/>
          <w:sz w:val="24"/>
          <w:szCs w:val="24"/>
        </w:rPr>
        <w:t>Soma-se a isso a necessidade de planejamento técnico, implantação e atualização periódica de planos municipais obrigatórios, tais como:</w:t>
      </w:r>
    </w:p>
    <w:p w14:paraId="278E7860" w14:textId="7074FBA8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3.4.1. </w:t>
      </w:r>
      <w:r w:rsidRPr="00AD0CA4">
        <w:rPr>
          <w:rFonts w:ascii="Arial" w:hAnsi="Arial" w:cs="Arial"/>
          <w:sz w:val="24"/>
          <w:szCs w:val="24"/>
        </w:rPr>
        <w:t>Plano Municipal de Adaptação e Resiliência Climática (PMARC);</w:t>
      </w:r>
    </w:p>
    <w:p w14:paraId="0F714B11" w14:textId="27413FDB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3.4.2. </w:t>
      </w:r>
      <w:r w:rsidRPr="00AD0CA4">
        <w:rPr>
          <w:rFonts w:ascii="Arial" w:hAnsi="Arial" w:cs="Arial"/>
          <w:sz w:val="24"/>
          <w:szCs w:val="24"/>
        </w:rPr>
        <w:t>Plano Municipal de Arborização Urbana (PMAU);</w:t>
      </w:r>
    </w:p>
    <w:p w14:paraId="3E7FAB7F" w14:textId="5085FDE0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3.4.3. </w:t>
      </w:r>
      <w:r w:rsidRPr="00AD0CA4">
        <w:rPr>
          <w:rFonts w:ascii="Arial" w:hAnsi="Arial" w:cs="Arial"/>
          <w:sz w:val="24"/>
          <w:szCs w:val="24"/>
        </w:rPr>
        <w:t>Plano Municipal de Bacia Hidrográfica e Recursos Hídricos (PMBHRH);</w:t>
      </w:r>
    </w:p>
    <w:p w14:paraId="41FAE334" w14:textId="4B4E87B9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3.4.4. </w:t>
      </w:r>
      <w:r w:rsidRPr="00AD0CA4">
        <w:rPr>
          <w:rFonts w:ascii="Arial" w:hAnsi="Arial" w:cs="Arial"/>
          <w:sz w:val="24"/>
          <w:szCs w:val="24"/>
        </w:rPr>
        <w:t>Plano Municipal de Desenvolvimento Rural Sustentável (PMDRS);</w:t>
      </w:r>
    </w:p>
    <w:p w14:paraId="387C4CB1" w14:textId="618616B1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3.4.5. </w:t>
      </w:r>
      <w:r w:rsidRPr="00AD0CA4">
        <w:rPr>
          <w:rFonts w:ascii="Arial" w:hAnsi="Arial" w:cs="Arial"/>
          <w:sz w:val="24"/>
          <w:szCs w:val="24"/>
        </w:rPr>
        <w:t>Plano Municipal de Educação Ambiental (PMEA);</w:t>
      </w:r>
    </w:p>
    <w:p w14:paraId="46383A82" w14:textId="2C9E59D9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3.4.6. </w:t>
      </w:r>
      <w:r w:rsidRPr="00AD0CA4">
        <w:rPr>
          <w:rFonts w:ascii="Arial" w:hAnsi="Arial" w:cs="Arial"/>
          <w:sz w:val="24"/>
          <w:szCs w:val="24"/>
        </w:rPr>
        <w:t>Plano Municipal de Gestão Integrada de Resíduos Sólidos (PMGIRS);</w:t>
      </w:r>
    </w:p>
    <w:p w14:paraId="0B8AD716" w14:textId="7FC9C33D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3.4.7. </w:t>
      </w:r>
      <w:r w:rsidRPr="00AD0CA4">
        <w:rPr>
          <w:rFonts w:ascii="Arial" w:hAnsi="Arial" w:cs="Arial"/>
          <w:sz w:val="24"/>
          <w:szCs w:val="24"/>
        </w:rPr>
        <w:t>Plano Municipal de Gestão de Resíduos de Construção Civil (PMGRCC);</w:t>
      </w:r>
    </w:p>
    <w:p w14:paraId="005B0D81" w14:textId="2EA8B127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3.4.8. </w:t>
      </w:r>
      <w:r w:rsidRPr="00AD0CA4">
        <w:rPr>
          <w:rFonts w:ascii="Arial" w:hAnsi="Arial" w:cs="Arial"/>
          <w:sz w:val="24"/>
          <w:szCs w:val="24"/>
        </w:rPr>
        <w:t>Plano Municipal de Gestão de Resíduos de Serviços de Saúde (PMGRSS);</w:t>
      </w:r>
    </w:p>
    <w:p w14:paraId="5587CD94" w14:textId="6E12715D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3.4.9. </w:t>
      </w:r>
      <w:r w:rsidRPr="00AD0CA4">
        <w:rPr>
          <w:rFonts w:ascii="Arial" w:hAnsi="Arial" w:cs="Arial"/>
          <w:sz w:val="24"/>
          <w:szCs w:val="24"/>
        </w:rPr>
        <w:t>Plano Municipal de Contingência – Proteção e Defesa Civil (PMC-PDC);</w:t>
      </w:r>
    </w:p>
    <w:p w14:paraId="4BD90D9B" w14:textId="1BD3151B" w:rsidR="00AD0CA4" w:rsidRDefault="00AD0CA4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3.4.10.</w:t>
      </w:r>
      <w:r w:rsidR="003C66B0">
        <w:rPr>
          <w:rFonts w:ascii="Arial" w:hAnsi="Arial" w:cs="Arial"/>
          <w:sz w:val="24"/>
          <w:szCs w:val="24"/>
        </w:rPr>
        <w:t xml:space="preserve"> </w:t>
      </w:r>
      <w:r w:rsidR="003C66B0" w:rsidRPr="003C66B0">
        <w:rPr>
          <w:rFonts w:ascii="Arial" w:hAnsi="Arial" w:cs="Arial"/>
          <w:sz w:val="24"/>
          <w:szCs w:val="24"/>
        </w:rPr>
        <w:t>Plano Municipal de Mata Atlântica e Cerrado (PMMAeC);</w:t>
      </w:r>
    </w:p>
    <w:p w14:paraId="4B165067" w14:textId="0823D0E4" w:rsidR="003C66B0" w:rsidRDefault="003C66B0" w:rsidP="00AD0CA4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3.4.11. </w:t>
      </w:r>
      <w:r w:rsidRPr="003C66B0">
        <w:rPr>
          <w:rFonts w:ascii="Arial" w:hAnsi="Arial" w:cs="Arial"/>
          <w:sz w:val="24"/>
          <w:szCs w:val="24"/>
        </w:rPr>
        <w:t>XI.</w:t>
      </w:r>
      <w:r w:rsidRPr="003C66B0">
        <w:rPr>
          <w:rFonts w:ascii="Arial" w:hAnsi="Arial" w:cs="Arial"/>
          <w:sz w:val="24"/>
          <w:szCs w:val="24"/>
        </w:rPr>
        <w:tab/>
        <w:t>Plano Municipal de Segurança Alimentar e Nutricional Sustentável (PMSEA);</w:t>
      </w:r>
    </w:p>
    <w:p w14:paraId="77005E24" w14:textId="71578922" w:rsidR="003C66B0" w:rsidRDefault="003C66B0" w:rsidP="003C66B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C66B0">
        <w:rPr>
          <w:rFonts w:ascii="Arial" w:hAnsi="Arial" w:cs="Arial"/>
          <w:sz w:val="24"/>
          <w:szCs w:val="24"/>
        </w:rPr>
        <w:t>Essas iniciativas, embora parcialmente desenvolvidas com apoio das equipes internas, exigem suporte externo especializado para garantir sua efetiva execução, observância técnica, adequação normativa, articulação entre departamentos, participação social e potencial captação de recursos junto a programas e fundos estaduais.</w:t>
      </w:r>
    </w:p>
    <w:p w14:paraId="391FEAD1" w14:textId="77777777" w:rsidR="00745223" w:rsidRDefault="00745223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17171F" w14:textId="3D3547EC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8F7FFE5" w14:textId="280F4254" w:rsidR="00342B34" w:rsidRPr="00342B34" w:rsidRDefault="00342B34" w:rsidP="00342B3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42B34">
        <w:rPr>
          <w:rFonts w:ascii="Arial" w:hAnsi="Arial" w:cs="Arial"/>
          <w:sz w:val="24"/>
          <w:szCs w:val="24"/>
        </w:rPr>
        <w:t xml:space="preserve">A contratação de empresa especializada em assessoria e consultoria técnica para implantação de políticas públicas de desenvolvimento sustentável tem como principal resultado esperado o fortalecimento da capacidade institucional do Município de Ibirarema/SP para planejar, implementar, monitorar e avaliar ações estruturadas voltadas </w:t>
      </w:r>
      <w:r w:rsidRPr="00342B34">
        <w:rPr>
          <w:rFonts w:ascii="Arial" w:hAnsi="Arial" w:cs="Arial"/>
          <w:sz w:val="24"/>
          <w:szCs w:val="24"/>
        </w:rPr>
        <w:lastRenderedPageBreak/>
        <w:t>à sustentabilidade ambiental, à adaptação climática, à gestão integrada de resíduos, à proteção dos recursos naturais e ao desenvolvimento rural sustentável, em consonância com as diretrizes estaduais, federais e internacionais.</w:t>
      </w:r>
    </w:p>
    <w:p w14:paraId="52E82879" w14:textId="296F25F0" w:rsidR="00342B34" w:rsidRPr="00342B34" w:rsidRDefault="00342B34" w:rsidP="00342B3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42B34">
        <w:rPr>
          <w:rFonts w:ascii="Arial" w:hAnsi="Arial" w:cs="Arial"/>
          <w:sz w:val="24"/>
          <w:szCs w:val="24"/>
        </w:rPr>
        <w:t>Espera-se, como resultado direto da contratação, a elaboração, atualização, revisão técnica e acompanhamento sistemático dos planos municipais obrigatórios e estratégicos, garantindo sua aderência às normas legais vigentes, às exigências dos órgãos de controle e aos critérios técnicos exigidos pelos programas governamentais dos quais o Município participa, tais como o Programa Município VerdeAzul (PMVA), Município Agro (MunAgro), Agenda Ambiental na Administração Pública (A3P), Agenda 2030 – Objetivos de Desenvolvimento Sustentável (ODS) e demais instrumentos de avaliação institucional.</w:t>
      </w:r>
    </w:p>
    <w:p w14:paraId="674F7A51" w14:textId="7F16D17A" w:rsidR="00342B34" w:rsidRPr="00342B34" w:rsidRDefault="00342B34" w:rsidP="00342B3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42B34">
        <w:rPr>
          <w:rFonts w:ascii="Arial" w:hAnsi="Arial" w:cs="Arial"/>
          <w:sz w:val="24"/>
          <w:szCs w:val="24"/>
        </w:rPr>
        <w:t>Outro resultado relevante consiste no adequado preenchimento, validação técnica e envio tempestivo dos questionários e sistemas de avaliação institucional, como o Índice de Efetividade da Gestão Municipal (IEG-M/TCESP), o Sistema Nacional de Informações em Saneamento Básico (SINISA) e o Índice de Qualidade de Resíduos (IQR), contribuindo para a melhoria dos indicadores do Município, para a ampliação de repasses financeiros vinculados ao ICMS Ambiental e para a redução de riscos de apontamentos pelos órgãos de controle.</w:t>
      </w:r>
    </w:p>
    <w:p w14:paraId="5AACFCC6" w14:textId="6F147699" w:rsidR="005A068C" w:rsidRDefault="00342B34" w:rsidP="00342B34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42B34">
        <w:rPr>
          <w:rFonts w:ascii="Arial" w:hAnsi="Arial" w:cs="Arial"/>
          <w:sz w:val="24"/>
          <w:szCs w:val="24"/>
        </w:rPr>
        <w:t>Adicionalmente, espera-se o fortalecimento da governança ambiental municipal, com a integração das ações entre os diversos departamentos da Administração, o estímulo à participação social nos processos de planejamento e a criação de bases técnicas sólidas para a captação de recursos junto a fundos e programas estaduais e federais, assegurando maior eficiência administrativa, sustentabilidade financeira e continuidade das políticas públicas ambientais.</w:t>
      </w:r>
    </w:p>
    <w:p w14:paraId="396A1DE8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03131BEE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ACB3D4C" w14:textId="2BB1FF12" w:rsidR="004B1765" w:rsidRDefault="004E6861" w:rsidP="004E6861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início dos serviços se dará imediatamente após a assinatura do contrato. O mesmo terá prazo de vigência de 12 (Doze) meses, prorrogáveis de acordo com o que estabelece o Capítulo V do Título III da Lei nº 14.133/2021.</w:t>
      </w:r>
    </w:p>
    <w:p w14:paraId="731E58DE" w14:textId="77777777" w:rsidR="00DB2BD2" w:rsidRDefault="00DB2BD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430E20F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</w:t>
      </w:r>
      <w:r w:rsidR="00BF4FF2">
        <w:rPr>
          <w:rFonts w:ascii="Arial" w:hAnsi="Arial" w:cs="Arial"/>
          <w:b/>
          <w:bCs/>
          <w:sz w:val="24"/>
          <w:szCs w:val="24"/>
        </w:rPr>
        <w:t>L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0196D82" w14:textId="1E04BE62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E4DE5">
        <w:rPr>
          <w:rFonts w:ascii="Arial" w:hAnsi="Arial" w:cs="Arial"/>
          <w:b/>
          <w:bCs/>
          <w:sz w:val="24"/>
          <w:szCs w:val="24"/>
        </w:rPr>
        <w:t>Gestor de Contrato:</w:t>
      </w:r>
      <w:r w:rsidR="003C66B0">
        <w:rPr>
          <w:rFonts w:ascii="Arial" w:hAnsi="Arial" w:cs="Arial"/>
          <w:sz w:val="24"/>
          <w:szCs w:val="24"/>
        </w:rPr>
        <w:t xml:space="preserve"> Bianca Wallid Gonçalves Awada.</w:t>
      </w:r>
    </w:p>
    <w:p w14:paraId="6482445C" w14:textId="69A97110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E4DE5">
        <w:rPr>
          <w:rFonts w:ascii="Arial" w:hAnsi="Arial" w:cs="Arial"/>
          <w:b/>
          <w:bCs/>
          <w:sz w:val="24"/>
          <w:szCs w:val="24"/>
        </w:rPr>
        <w:lastRenderedPageBreak/>
        <w:t>CPF:</w:t>
      </w:r>
      <w:r>
        <w:rPr>
          <w:rFonts w:ascii="Arial" w:hAnsi="Arial" w:cs="Arial"/>
          <w:sz w:val="24"/>
          <w:szCs w:val="24"/>
        </w:rPr>
        <w:t xml:space="preserve"> </w:t>
      </w:r>
      <w:r w:rsidR="00FE4DE5">
        <w:rPr>
          <w:rFonts w:ascii="Arial" w:hAnsi="Arial" w:cs="Arial"/>
          <w:sz w:val="24"/>
          <w:szCs w:val="24"/>
        </w:rPr>
        <w:t>433.708.858-08</w:t>
      </w:r>
    </w:p>
    <w:p w14:paraId="3B4BED2F" w14:textId="544E3C53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E4DE5">
        <w:rPr>
          <w:rFonts w:ascii="Arial" w:hAnsi="Arial" w:cs="Arial"/>
          <w:b/>
          <w:bCs/>
          <w:sz w:val="24"/>
          <w:szCs w:val="24"/>
        </w:rPr>
        <w:t>Cargo:</w:t>
      </w:r>
      <w:r>
        <w:rPr>
          <w:rFonts w:ascii="Arial" w:hAnsi="Arial" w:cs="Arial"/>
          <w:sz w:val="24"/>
          <w:szCs w:val="24"/>
        </w:rPr>
        <w:t xml:space="preserve"> </w:t>
      </w:r>
      <w:r w:rsidR="003C66B0">
        <w:rPr>
          <w:rFonts w:ascii="Arial" w:hAnsi="Arial" w:cs="Arial"/>
          <w:sz w:val="24"/>
          <w:szCs w:val="24"/>
        </w:rPr>
        <w:t>Diretora do Departamento de Meio Ambiente.</w:t>
      </w:r>
    </w:p>
    <w:p w14:paraId="53DAD70F" w14:textId="77777777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A8ADB1C" w14:textId="07655FCB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E4DE5">
        <w:rPr>
          <w:rFonts w:ascii="Arial" w:hAnsi="Arial" w:cs="Arial"/>
          <w:b/>
          <w:bCs/>
          <w:sz w:val="24"/>
          <w:szCs w:val="24"/>
        </w:rPr>
        <w:t>Fiscal de Contrato:</w:t>
      </w:r>
      <w:r w:rsidR="00FE4DE5">
        <w:rPr>
          <w:rFonts w:ascii="Arial" w:hAnsi="Arial" w:cs="Arial"/>
          <w:sz w:val="24"/>
          <w:szCs w:val="24"/>
        </w:rPr>
        <w:t xml:space="preserve"> Romildo Valentim Pinto.</w:t>
      </w:r>
    </w:p>
    <w:p w14:paraId="3841CB80" w14:textId="6198F37A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E4DE5">
        <w:rPr>
          <w:rFonts w:ascii="Arial" w:hAnsi="Arial" w:cs="Arial"/>
          <w:b/>
          <w:bCs/>
          <w:sz w:val="24"/>
          <w:szCs w:val="24"/>
        </w:rPr>
        <w:t>CPF:</w:t>
      </w:r>
      <w:r>
        <w:rPr>
          <w:rFonts w:ascii="Arial" w:hAnsi="Arial" w:cs="Arial"/>
          <w:sz w:val="24"/>
          <w:szCs w:val="24"/>
        </w:rPr>
        <w:t xml:space="preserve"> </w:t>
      </w:r>
      <w:r w:rsidR="00FE4DE5">
        <w:rPr>
          <w:rFonts w:ascii="Arial" w:hAnsi="Arial" w:cs="Arial"/>
          <w:sz w:val="24"/>
          <w:szCs w:val="24"/>
        </w:rPr>
        <w:t>252.401.898-97</w:t>
      </w:r>
    </w:p>
    <w:p w14:paraId="206AB22A" w14:textId="5F9CAC94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FE4DE5">
        <w:rPr>
          <w:rFonts w:ascii="Arial" w:hAnsi="Arial" w:cs="Arial"/>
          <w:b/>
          <w:bCs/>
          <w:sz w:val="24"/>
          <w:szCs w:val="24"/>
        </w:rPr>
        <w:t>Cargo:</w:t>
      </w:r>
      <w:r>
        <w:rPr>
          <w:rFonts w:ascii="Arial" w:hAnsi="Arial" w:cs="Arial"/>
          <w:sz w:val="24"/>
          <w:szCs w:val="24"/>
        </w:rPr>
        <w:t xml:space="preserve"> </w:t>
      </w:r>
      <w:r w:rsidR="00FE4DE5">
        <w:rPr>
          <w:rFonts w:ascii="Arial" w:hAnsi="Arial" w:cs="Arial"/>
          <w:sz w:val="24"/>
          <w:szCs w:val="24"/>
        </w:rPr>
        <w:t>Diretor do Departamento de Agricultura e Abastecimento.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54908BA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29AA7ED0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0CCFC9C2" w14:textId="1A7BC2F0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8F23227" w14:textId="1E7AC82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75D4CAB" w14:textId="54650C15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3F392C">
        <w:rPr>
          <w:rFonts w:ascii="Arial" w:hAnsi="Arial" w:cs="Arial"/>
          <w:sz w:val="24"/>
          <w:szCs w:val="24"/>
        </w:rPr>
        <w:t>2</w:t>
      </w:r>
      <w:r w:rsidR="00BE130A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de </w:t>
      </w:r>
      <w:r w:rsidR="003C66B0">
        <w:rPr>
          <w:rFonts w:ascii="Arial" w:hAnsi="Arial" w:cs="Arial"/>
          <w:sz w:val="24"/>
          <w:szCs w:val="24"/>
        </w:rPr>
        <w:t>janeiro</w:t>
      </w:r>
      <w:r>
        <w:rPr>
          <w:rFonts w:ascii="Arial" w:hAnsi="Arial" w:cs="Arial"/>
          <w:sz w:val="24"/>
          <w:szCs w:val="24"/>
        </w:rPr>
        <w:t xml:space="preserve"> de 202</w:t>
      </w:r>
      <w:r w:rsidR="003C66B0">
        <w:rPr>
          <w:rFonts w:ascii="Arial" w:hAnsi="Arial" w:cs="Arial"/>
          <w:sz w:val="24"/>
          <w:szCs w:val="24"/>
        </w:rPr>
        <w:t>6</w:t>
      </w:r>
      <w:r w:rsidR="00013181">
        <w:rPr>
          <w:rFonts w:ascii="Arial" w:hAnsi="Arial" w:cs="Arial"/>
          <w:sz w:val="24"/>
          <w:szCs w:val="24"/>
        </w:rPr>
        <w:t>.</w:t>
      </w:r>
    </w:p>
    <w:p w14:paraId="18ED460B" w14:textId="61A4D5A2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5453C90F" w14:textId="77777777" w:rsidR="003C66B0" w:rsidRDefault="003C66B0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14:paraId="4C212D9D" w14:textId="333F371D" w:rsidR="00670ADE" w:rsidRPr="00670ADE" w:rsidRDefault="003C66B0" w:rsidP="00670AD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BIANCA WALLID GONÇALVES AWADA</w:t>
      </w:r>
    </w:p>
    <w:p w14:paraId="620C7635" w14:textId="2736CFE8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3C66B0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do Departamento d</w:t>
      </w:r>
      <w:r w:rsidR="003C66B0">
        <w:rPr>
          <w:rFonts w:ascii="Arial" w:hAnsi="Arial" w:cs="Arial"/>
          <w:sz w:val="24"/>
          <w:szCs w:val="24"/>
        </w:rPr>
        <w:t xml:space="preserve">e Meio Ambiente. </w:t>
      </w:r>
    </w:p>
    <w:p w14:paraId="2A4CB76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C2530D4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9CF0E4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62BA44" w14:textId="77777777" w:rsidR="004B1765" w:rsidRP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C618D" w14:textId="77777777" w:rsidR="00F64B89" w:rsidRDefault="00F64B89" w:rsidP="00745223">
      <w:pPr>
        <w:spacing w:after="0" w:line="240" w:lineRule="auto"/>
      </w:pPr>
      <w:r>
        <w:separator/>
      </w:r>
    </w:p>
  </w:endnote>
  <w:endnote w:type="continuationSeparator" w:id="0">
    <w:p w14:paraId="2C63E367" w14:textId="77777777" w:rsidR="00F64B89" w:rsidRDefault="00F64B89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0" w:name="_Hlk182223789"/>
    <w:bookmarkStart w:id="1" w:name="_Hlk182223790"/>
    <w:bookmarkStart w:id="2" w:name="_Hlk182223791"/>
    <w:bookmarkStart w:id="3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6D73D54C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38292A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0"/>
    <w:bookmarkEnd w:id="1"/>
    <w:bookmarkEnd w:id="2"/>
    <w:bookmarkEnd w:id="3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FC77B" w14:textId="77777777" w:rsidR="00F64B89" w:rsidRDefault="00F64B89" w:rsidP="00745223">
      <w:pPr>
        <w:spacing w:after="0" w:line="240" w:lineRule="auto"/>
      </w:pPr>
      <w:r>
        <w:separator/>
      </w:r>
    </w:p>
  </w:footnote>
  <w:footnote w:type="continuationSeparator" w:id="0">
    <w:p w14:paraId="472501C5" w14:textId="77777777" w:rsidR="00F64B89" w:rsidRDefault="00F64B89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5BD7AB63">
          <wp:simplePos x="0" y="0"/>
          <wp:positionH relativeFrom="margin">
            <wp:posOffset>5589270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2CDA1480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45515003" w14:textId="4DFAC74C" w:rsidR="009D2A93" w:rsidRPr="00522C4D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DE </w:t>
    </w:r>
    <w:r w:rsidR="00AD0CA4">
      <w:rPr>
        <w:rFonts w:ascii="Century Gothic" w:hAnsi="Century Gothic"/>
        <w:b/>
        <w:sz w:val="16"/>
        <w:szCs w:val="21"/>
      </w:rPr>
      <w:t>MEIO AMBIENTE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13181"/>
    <w:rsid w:val="0015344A"/>
    <w:rsid w:val="00173102"/>
    <w:rsid w:val="00316C20"/>
    <w:rsid w:val="00342B34"/>
    <w:rsid w:val="0038292A"/>
    <w:rsid w:val="003C66B0"/>
    <w:rsid w:val="003F392C"/>
    <w:rsid w:val="00410965"/>
    <w:rsid w:val="004B1765"/>
    <w:rsid w:val="004E6861"/>
    <w:rsid w:val="005317DE"/>
    <w:rsid w:val="005A068C"/>
    <w:rsid w:val="005D3BFC"/>
    <w:rsid w:val="005F625B"/>
    <w:rsid w:val="0061464D"/>
    <w:rsid w:val="00670ADE"/>
    <w:rsid w:val="007024AC"/>
    <w:rsid w:val="00745223"/>
    <w:rsid w:val="00842CD1"/>
    <w:rsid w:val="00953EE6"/>
    <w:rsid w:val="00955F59"/>
    <w:rsid w:val="009A4085"/>
    <w:rsid w:val="009D2A93"/>
    <w:rsid w:val="00A1555B"/>
    <w:rsid w:val="00AA1DBE"/>
    <w:rsid w:val="00AA209E"/>
    <w:rsid w:val="00AD0CA4"/>
    <w:rsid w:val="00AE0395"/>
    <w:rsid w:val="00B90644"/>
    <w:rsid w:val="00BB7C3A"/>
    <w:rsid w:val="00BE130A"/>
    <w:rsid w:val="00BF4FF2"/>
    <w:rsid w:val="00C00D3F"/>
    <w:rsid w:val="00C12566"/>
    <w:rsid w:val="00C34CD8"/>
    <w:rsid w:val="00C4507A"/>
    <w:rsid w:val="00CA6675"/>
    <w:rsid w:val="00CB04D6"/>
    <w:rsid w:val="00DB2BD2"/>
    <w:rsid w:val="00DC0724"/>
    <w:rsid w:val="00DF1B3A"/>
    <w:rsid w:val="00E17282"/>
    <w:rsid w:val="00E51363"/>
    <w:rsid w:val="00F64B89"/>
    <w:rsid w:val="00FE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5</Pages>
  <Words>1521</Words>
  <Characters>8217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26</cp:revision>
  <dcterms:created xsi:type="dcterms:W3CDTF">2024-01-23T13:19:00Z</dcterms:created>
  <dcterms:modified xsi:type="dcterms:W3CDTF">2026-01-28T17:52:00Z</dcterms:modified>
</cp:coreProperties>
</file>