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13B65A" w14:textId="1DA00A1A" w:rsidR="00247CD1" w:rsidRDefault="00247CD1" w:rsidP="00247CD1">
      <w:pPr>
        <w:spacing w:after="0" w:line="360" w:lineRule="auto"/>
        <w:jc w:val="center"/>
        <w:rPr>
          <w:rFonts w:ascii="Arial" w:eastAsia="Times New Roman" w:hAnsi="Arial" w:cs="Arial"/>
          <w:b/>
          <w:sz w:val="24"/>
          <w:szCs w:val="24"/>
          <w:lang w:eastAsia="pt-BR"/>
        </w:rPr>
      </w:pPr>
      <w:r w:rsidRPr="00247CD1">
        <w:rPr>
          <w:rFonts w:ascii="Arial" w:eastAsia="Times New Roman" w:hAnsi="Arial" w:cs="Arial"/>
          <w:b/>
          <w:sz w:val="24"/>
          <w:szCs w:val="24"/>
          <w:lang w:eastAsia="pt-BR"/>
        </w:rPr>
        <w:t>ESTUDO TÉCNICO PRELIMINAR</w:t>
      </w:r>
    </w:p>
    <w:p w14:paraId="1FB03AA0" w14:textId="46C5C1EC" w:rsidR="000F703E" w:rsidRDefault="000F703E" w:rsidP="00247CD1">
      <w:pPr>
        <w:spacing w:after="0" w:line="360" w:lineRule="auto"/>
        <w:jc w:val="center"/>
        <w:rPr>
          <w:rFonts w:ascii="Arial" w:eastAsia="Times New Roman" w:hAnsi="Arial" w:cs="Arial"/>
          <w:b/>
          <w:sz w:val="24"/>
          <w:szCs w:val="24"/>
          <w:lang w:eastAsia="pt-BR"/>
        </w:rPr>
      </w:pPr>
    </w:p>
    <w:p w14:paraId="2BAD649C" w14:textId="2EF3E1CF" w:rsidR="000F703E" w:rsidRPr="00247CD1" w:rsidRDefault="000F703E" w:rsidP="000F703E">
      <w:pPr>
        <w:shd w:val="clear" w:color="auto" w:fill="BFBFBF" w:themeFill="background1" w:themeFillShade="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IDENTIFICAÇÃO DO PEDIDO</w:t>
      </w:r>
    </w:p>
    <w:p w14:paraId="55EBA2FB" w14:textId="553DD72A" w:rsidR="00247CD1" w:rsidRDefault="00247CD1" w:rsidP="00247CD1">
      <w:pPr>
        <w:spacing w:after="0" w:line="360" w:lineRule="auto"/>
        <w:jc w:val="both"/>
        <w:rPr>
          <w:rFonts w:ascii="Arial" w:eastAsia="Times New Roman" w:hAnsi="Arial" w:cs="Arial"/>
          <w:sz w:val="24"/>
          <w:szCs w:val="24"/>
          <w:lang w:eastAsia="pt-BR"/>
        </w:rPr>
      </w:pPr>
    </w:p>
    <w:p w14:paraId="407446C4" w14:textId="775C50BB" w:rsidR="000F703E" w:rsidRDefault="000F703E" w:rsidP="00247CD1">
      <w:pPr>
        <w:spacing w:after="0" w:line="360" w:lineRule="auto"/>
        <w:jc w:val="both"/>
        <w:rPr>
          <w:rFonts w:ascii="Arial" w:eastAsia="Times New Roman" w:hAnsi="Arial" w:cs="Arial"/>
          <w:sz w:val="24"/>
          <w:szCs w:val="24"/>
          <w:lang w:eastAsia="pt-BR"/>
        </w:rPr>
      </w:pPr>
      <w:r>
        <w:rPr>
          <w:rFonts w:ascii="Arial" w:eastAsia="Times New Roman" w:hAnsi="Arial" w:cs="Arial"/>
          <w:sz w:val="24"/>
          <w:szCs w:val="24"/>
          <w:lang w:eastAsia="pt-BR"/>
        </w:rPr>
        <w:t>Número da Requisição: 0</w:t>
      </w:r>
      <w:r w:rsidR="00F7633C">
        <w:rPr>
          <w:rFonts w:ascii="Arial" w:eastAsia="Times New Roman" w:hAnsi="Arial" w:cs="Arial"/>
          <w:sz w:val="24"/>
          <w:szCs w:val="24"/>
          <w:lang w:eastAsia="pt-BR"/>
        </w:rPr>
        <w:t>54</w:t>
      </w:r>
      <w:r>
        <w:rPr>
          <w:rFonts w:ascii="Arial" w:eastAsia="Times New Roman" w:hAnsi="Arial" w:cs="Arial"/>
          <w:sz w:val="24"/>
          <w:szCs w:val="24"/>
          <w:lang w:eastAsia="pt-BR"/>
        </w:rPr>
        <w:t>/2025.</w:t>
      </w:r>
    </w:p>
    <w:p w14:paraId="6A8F25C5" w14:textId="77777777" w:rsidR="000F703E" w:rsidRPr="00247CD1" w:rsidRDefault="000F703E" w:rsidP="00247CD1">
      <w:pPr>
        <w:spacing w:after="0" w:line="360" w:lineRule="auto"/>
        <w:jc w:val="both"/>
        <w:rPr>
          <w:rFonts w:ascii="Arial" w:eastAsia="Times New Roman" w:hAnsi="Arial" w:cs="Arial"/>
          <w:sz w:val="24"/>
          <w:szCs w:val="24"/>
          <w:lang w:eastAsia="pt-BR"/>
        </w:rPr>
      </w:pPr>
    </w:p>
    <w:p w14:paraId="4BD861A8" w14:textId="0A356005"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1. </w:t>
      </w:r>
      <w:r w:rsidR="00247CD1" w:rsidRPr="00247CD1">
        <w:rPr>
          <w:rFonts w:ascii="Arial" w:eastAsia="Times New Roman" w:hAnsi="Arial" w:cs="Arial"/>
          <w:b/>
          <w:sz w:val="24"/>
          <w:szCs w:val="24"/>
          <w:lang w:eastAsia="pt-BR"/>
        </w:rPr>
        <w:t>SETOR REQUISITANTE/ÁREA TÉCNICA</w:t>
      </w:r>
    </w:p>
    <w:p w14:paraId="0444D8FA" w14:textId="77777777" w:rsidR="00247CD1" w:rsidRPr="00247CD1" w:rsidRDefault="00247CD1" w:rsidP="00247CD1">
      <w:pPr>
        <w:spacing w:after="0" w:line="360" w:lineRule="auto"/>
        <w:jc w:val="both"/>
        <w:rPr>
          <w:rFonts w:ascii="Arial" w:eastAsia="Times New Roman" w:hAnsi="Arial" w:cs="Arial"/>
          <w:sz w:val="24"/>
          <w:szCs w:val="24"/>
          <w:lang w:eastAsia="pt-BR"/>
        </w:rPr>
      </w:pPr>
    </w:p>
    <w:tbl>
      <w:tblPr>
        <w:tblStyle w:val="Tabelacomgrade"/>
        <w:tblpPr w:leftFromText="141" w:rightFromText="141" w:vertAnchor="page" w:horzAnchor="margin" w:tblpY="4921"/>
        <w:tblW w:w="0" w:type="auto"/>
        <w:tblLook w:val="04A0" w:firstRow="1" w:lastRow="0" w:firstColumn="1" w:lastColumn="0" w:noHBand="0" w:noVBand="1"/>
      </w:tblPr>
      <w:tblGrid>
        <w:gridCol w:w="4396"/>
        <w:gridCol w:w="5233"/>
      </w:tblGrid>
      <w:tr w:rsidR="000F703E" w:rsidRPr="00247CD1" w14:paraId="1C81C8AF" w14:textId="77777777" w:rsidTr="000F703E">
        <w:tc>
          <w:tcPr>
            <w:tcW w:w="4396" w:type="dxa"/>
            <w:shd w:val="clear" w:color="auto" w:fill="BFBFBF"/>
            <w:vAlign w:val="center"/>
          </w:tcPr>
          <w:p w14:paraId="0235B796" w14:textId="77777777" w:rsidR="000F703E" w:rsidRPr="00247CD1" w:rsidRDefault="000F703E" w:rsidP="000F703E">
            <w:pPr>
              <w:spacing w:before="120" w:line="360" w:lineRule="auto"/>
              <w:jc w:val="center"/>
              <w:rPr>
                <w:rFonts w:ascii="Arial" w:hAnsi="Arial" w:cs="Arial"/>
                <w:color w:val="000000"/>
                <w:sz w:val="24"/>
                <w:szCs w:val="24"/>
              </w:rPr>
            </w:pPr>
            <w:r w:rsidRPr="00247CD1">
              <w:rPr>
                <w:rFonts w:ascii="Arial" w:hAnsi="Arial" w:cs="Arial"/>
                <w:color w:val="000000"/>
                <w:sz w:val="24"/>
                <w:szCs w:val="24"/>
              </w:rPr>
              <w:t>Área Requisitante/Área Técnica</w:t>
            </w:r>
          </w:p>
        </w:tc>
        <w:tc>
          <w:tcPr>
            <w:tcW w:w="5233" w:type="dxa"/>
            <w:shd w:val="clear" w:color="auto" w:fill="BFBFBF"/>
            <w:vAlign w:val="center"/>
          </w:tcPr>
          <w:p w14:paraId="61D0A61E" w14:textId="77777777" w:rsidR="000F703E" w:rsidRPr="00247CD1" w:rsidRDefault="000F703E" w:rsidP="000F703E">
            <w:pPr>
              <w:spacing w:before="120" w:line="360" w:lineRule="auto"/>
              <w:jc w:val="center"/>
              <w:rPr>
                <w:rFonts w:ascii="Arial" w:hAnsi="Arial" w:cs="Arial"/>
                <w:color w:val="000000"/>
                <w:sz w:val="24"/>
                <w:szCs w:val="24"/>
              </w:rPr>
            </w:pPr>
            <w:r w:rsidRPr="00247CD1">
              <w:rPr>
                <w:rFonts w:ascii="Arial" w:hAnsi="Arial" w:cs="Arial"/>
                <w:color w:val="000000"/>
                <w:sz w:val="24"/>
                <w:szCs w:val="24"/>
              </w:rPr>
              <w:t>Responsável</w:t>
            </w:r>
          </w:p>
        </w:tc>
      </w:tr>
      <w:tr w:rsidR="000F703E" w:rsidRPr="00247CD1" w14:paraId="0D3B0D95" w14:textId="77777777" w:rsidTr="00042EDE">
        <w:tc>
          <w:tcPr>
            <w:tcW w:w="4396" w:type="dxa"/>
            <w:vAlign w:val="center"/>
          </w:tcPr>
          <w:p w14:paraId="39FCAEC0" w14:textId="405CC0FF" w:rsidR="000F703E" w:rsidRPr="00247CD1" w:rsidRDefault="003E2CAA" w:rsidP="00042EDE">
            <w:pPr>
              <w:spacing w:before="120" w:line="360" w:lineRule="auto"/>
              <w:jc w:val="center"/>
              <w:rPr>
                <w:rFonts w:ascii="Arial" w:hAnsi="Arial" w:cs="Arial"/>
                <w:sz w:val="24"/>
                <w:szCs w:val="24"/>
              </w:rPr>
            </w:pPr>
            <w:r>
              <w:rPr>
                <w:rFonts w:ascii="Arial" w:hAnsi="Arial" w:cs="Arial"/>
                <w:sz w:val="24"/>
                <w:szCs w:val="24"/>
              </w:rPr>
              <w:t>Departamento de Saúde</w:t>
            </w:r>
          </w:p>
        </w:tc>
        <w:tc>
          <w:tcPr>
            <w:tcW w:w="5233" w:type="dxa"/>
            <w:vAlign w:val="center"/>
          </w:tcPr>
          <w:p w14:paraId="2DC8D90A" w14:textId="4981D828" w:rsidR="000F703E" w:rsidRPr="00247CD1" w:rsidRDefault="003E2CAA" w:rsidP="00042EDE">
            <w:pPr>
              <w:spacing w:before="120" w:line="360" w:lineRule="auto"/>
              <w:jc w:val="center"/>
              <w:rPr>
                <w:rFonts w:ascii="Arial" w:hAnsi="Arial" w:cs="Arial"/>
                <w:sz w:val="24"/>
                <w:szCs w:val="24"/>
              </w:rPr>
            </w:pPr>
            <w:r>
              <w:rPr>
                <w:rFonts w:ascii="Arial" w:hAnsi="Arial" w:cs="Arial"/>
                <w:sz w:val="24"/>
                <w:szCs w:val="24"/>
              </w:rPr>
              <w:t>Daniele Dion</w:t>
            </w:r>
            <w:r w:rsidR="00042EDE">
              <w:rPr>
                <w:rFonts w:ascii="Arial" w:hAnsi="Arial" w:cs="Arial"/>
                <w:sz w:val="24"/>
                <w:szCs w:val="24"/>
              </w:rPr>
              <w:t>ísio Alves</w:t>
            </w:r>
          </w:p>
        </w:tc>
      </w:tr>
    </w:tbl>
    <w:p w14:paraId="707C421E" w14:textId="77777777" w:rsidR="00051B1F" w:rsidRPr="00247CD1" w:rsidRDefault="00051B1F" w:rsidP="00247CD1">
      <w:pPr>
        <w:spacing w:after="0" w:line="360" w:lineRule="auto"/>
        <w:jc w:val="both"/>
        <w:rPr>
          <w:rFonts w:ascii="Arial" w:eastAsia="Times New Roman" w:hAnsi="Arial" w:cs="Arial"/>
          <w:sz w:val="24"/>
          <w:szCs w:val="24"/>
          <w:lang w:eastAsia="pt-BR"/>
        </w:rPr>
      </w:pPr>
    </w:p>
    <w:p w14:paraId="42B45F0F" w14:textId="4A498D17"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2. </w:t>
      </w:r>
      <w:r w:rsidR="00247CD1" w:rsidRPr="00247CD1">
        <w:rPr>
          <w:rFonts w:ascii="Arial" w:eastAsia="Times New Roman" w:hAnsi="Arial" w:cs="Arial"/>
          <w:b/>
          <w:sz w:val="24"/>
          <w:szCs w:val="24"/>
          <w:lang w:eastAsia="pt-BR"/>
        </w:rPr>
        <w:t>DESCRIÇÃO DA NECESSIDADE DA CONTRATAÇÃO</w:t>
      </w:r>
    </w:p>
    <w:p w14:paraId="1CAF9FE3"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6FD8D666" w14:textId="1BA32474" w:rsidR="00656373" w:rsidRPr="00656373" w:rsidRDefault="00247CD1" w:rsidP="003E2CAA">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Em atendimento ao artigo 10, inciso I do Decreto Municipal nº 007/2024, o Estudo Técnico Preliminar tem por objeto a</w:t>
      </w:r>
      <w:r w:rsidR="007E1A86">
        <w:rPr>
          <w:rFonts w:ascii="Arial" w:eastAsia="Times New Roman" w:hAnsi="Arial" w:cs="Arial"/>
          <w:sz w:val="24"/>
          <w:szCs w:val="24"/>
          <w:lang w:eastAsia="pt-BR"/>
        </w:rPr>
        <w:t xml:space="preserve"> Contratação de Empresa Técnica Especializada para a Execução do Projeto Elétrico das Instalações do Prédio da Vigilância Saúde do Município de Ibirarema/SP</w:t>
      </w:r>
      <w:r w:rsidR="00656373">
        <w:rPr>
          <w:rFonts w:ascii="Arial" w:eastAsia="Times New Roman" w:hAnsi="Arial" w:cs="Arial"/>
          <w:sz w:val="24"/>
          <w:szCs w:val="24"/>
          <w:lang w:eastAsia="pt-BR"/>
        </w:rPr>
        <w:t xml:space="preserve">, </w:t>
      </w:r>
      <w:r w:rsidR="00656373" w:rsidRPr="00656373">
        <w:rPr>
          <w:rFonts w:ascii="Arial" w:eastAsia="Times New Roman" w:hAnsi="Arial" w:cs="Arial"/>
          <w:sz w:val="24"/>
          <w:szCs w:val="24"/>
          <w:lang w:eastAsia="pt-BR"/>
        </w:rPr>
        <w:t>de modo a regularizar, modernizar e adequar a infraestrutura elétrica às exigências técnicas, de segurança e de operacionalidade próprias de uma unidade de saúde pública. A necessidade manifesta decorre da constatação de que as instalações atuais ou a infraestrutura prevista demandam dimensionamento, fornecimento e montagem de circuitos, painéis, condutores, eletrodutos, pontos de iluminação e dispositivos de proteção corretamente projetados e executados, garantindo continuidade de serviço, segurança de pessoas, proteção do patrimônio e conformidade com as normas técnicas aplicáveis. A execução de projeto elétrico de caráter executivo permitirá o correto dimensionamento das cargas, a definição de circuitos alimentadores e ramais, o cálculo de seções e proteções, o estudo de seletividade e coordenação entre dispositivos de proteção, o projeto de aterramento e equipotencialização, além do detalhamento para a instalação de quadro</w:t>
      </w:r>
      <w:r w:rsidR="00293CF0">
        <w:rPr>
          <w:rFonts w:ascii="Arial" w:eastAsia="Times New Roman" w:hAnsi="Arial" w:cs="Arial"/>
          <w:sz w:val="24"/>
          <w:szCs w:val="24"/>
          <w:lang w:eastAsia="pt-BR"/>
        </w:rPr>
        <w:t>s</w:t>
      </w:r>
      <w:r w:rsidR="00656373" w:rsidRPr="00656373">
        <w:rPr>
          <w:rFonts w:ascii="Arial" w:eastAsia="Times New Roman" w:hAnsi="Arial" w:cs="Arial"/>
          <w:sz w:val="24"/>
          <w:szCs w:val="24"/>
          <w:lang w:eastAsia="pt-BR"/>
        </w:rPr>
        <w:t xml:space="preserve"> de distribuição, circuitos dedicados para equipamentos sensíveis (informática, climatização, refrigeradores</w:t>
      </w:r>
      <w:r w:rsidR="00293CF0">
        <w:rPr>
          <w:rFonts w:ascii="Arial" w:eastAsia="Times New Roman" w:hAnsi="Arial" w:cs="Arial"/>
          <w:sz w:val="24"/>
          <w:szCs w:val="24"/>
          <w:lang w:eastAsia="pt-BR"/>
        </w:rPr>
        <w:t>...</w:t>
      </w:r>
      <w:r w:rsidR="00656373" w:rsidRPr="00656373">
        <w:rPr>
          <w:rFonts w:ascii="Arial" w:eastAsia="Times New Roman" w:hAnsi="Arial" w:cs="Arial"/>
          <w:sz w:val="24"/>
          <w:szCs w:val="24"/>
          <w:lang w:eastAsia="pt-BR"/>
        </w:rPr>
        <w:t>) e sistemas de iluminação de emergência.</w:t>
      </w:r>
    </w:p>
    <w:p w14:paraId="3C82BFBA" w14:textId="74D2E4A3" w:rsidR="00247CD1" w:rsidRPr="00247CD1" w:rsidRDefault="00656373" w:rsidP="00656373">
      <w:pPr>
        <w:spacing w:after="0" w:line="360" w:lineRule="auto"/>
        <w:ind w:firstLine="851"/>
        <w:jc w:val="both"/>
        <w:rPr>
          <w:rFonts w:ascii="Arial" w:eastAsia="Times New Roman" w:hAnsi="Arial" w:cs="Arial"/>
          <w:color w:val="FF0000"/>
          <w:sz w:val="24"/>
          <w:szCs w:val="24"/>
          <w:lang w:eastAsia="pt-BR"/>
        </w:rPr>
      </w:pPr>
      <w:r w:rsidRPr="00656373">
        <w:rPr>
          <w:rFonts w:ascii="Arial" w:eastAsia="Times New Roman" w:hAnsi="Arial" w:cs="Arial"/>
          <w:sz w:val="24"/>
          <w:szCs w:val="24"/>
          <w:lang w:eastAsia="pt-BR"/>
        </w:rPr>
        <w:t xml:space="preserve">Tais intervenções são essenciais não apenas para a segurança dos servidores, colaboradores e usuários, mas igualmente para a continuidade e qualidade das atividades de </w:t>
      </w:r>
      <w:r w:rsidR="00293CF0">
        <w:rPr>
          <w:rFonts w:ascii="Arial" w:eastAsia="Times New Roman" w:hAnsi="Arial" w:cs="Arial"/>
          <w:sz w:val="24"/>
          <w:szCs w:val="24"/>
          <w:lang w:eastAsia="pt-BR"/>
        </w:rPr>
        <w:t>Vigilância da Saúde,</w:t>
      </w:r>
      <w:r w:rsidRPr="00656373">
        <w:rPr>
          <w:rFonts w:ascii="Arial" w:eastAsia="Times New Roman" w:hAnsi="Arial" w:cs="Arial"/>
          <w:sz w:val="24"/>
          <w:szCs w:val="24"/>
          <w:lang w:eastAsia="pt-BR"/>
        </w:rPr>
        <w:t xml:space="preserve"> que frequentemente exigem equipamentos eletrônicos sensíveis, armazenamento adequado de materiais e disponibilidade contínua de energia elétrica. A execução técnica adequada elimina riscos de curto-circuito, sobrecarga, choques e </w:t>
      </w:r>
      <w:r w:rsidRPr="00656373">
        <w:rPr>
          <w:rFonts w:ascii="Arial" w:eastAsia="Times New Roman" w:hAnsi="Arial" w:cs="Arial"/>
          <w:sz w:val="24"/>
          <w:szCs w:val="24"/>
          <w:lang w:eastAsia="pt-BR"/>
        </w:rPr>
        <w:lastRenderedPageBreak/>
        <w:t>incêndio elétrico, reduz custos de manutenção corretiva e prolonga a vida útil dos equipamentos e das instalações. A contratação especializada é necessária em virtude do caráter técnico-profissional da atividade, que requer equipe habilitada, projeto executivo detalhado, Anotação de Responsabilidade Técnica (ART) emitida por responsável legalmente habilitado e execução conforme normas técnicas (em especial a ABNT NBR 5410 para instalações elétricas de baixa tensão e, quando aplicável, NBR 14039, além das exigências de segurança do trabalho constantes na NR-10). O descritivo do serviço</w:t>
      </w:r>
      <w:r w:rsidR="00293CF0">
        <w:rPr>
          <w:rFonts w:ascii="Arial" w:eastAsia="Times New Roman" w:hAnsi="Arial" w:cs="Arial"/>
          <w:sz w:val="24"/>
          <w:szCs w:val="24"/>
          <w:lang w:eastAsia="pt-BR"/>
        </w:rPr>
        <w:t xml:space="preserve"> </w:t>
      </w:r>
      <w:r w:rsidRPr="00656373">
        <w:rPr>
          <w:rFonts w:ascii="Arial" w:eastAsia="Times New Roman" w:hAnsi="Arial" w:cs="Arial"/>
          <w:sz w:val="24"/>
          <w:szCs w:val="24"/>
          <w:lang w:eastAsia="pt-BR"/>
        </w:rPr>
        <w:t>indica atividades previstas como levantamento do local, instalação de eletrodutos, lançamento e identificação de cabos, montagem de quadros de distribuição, instalações de pontos de iluminação, tomadas e dispositivos, verificações, limpezas finais e entrega de documentação técnica e termos de garantia, o que corrobora a necessidade de contratação de empresa especializada com capacidade técnica demonstrada.</w:t>
      </w:r>
    </w:p>
    <w:p w14:paraId="7F0222C6" w14:textId="77777777" w:rsidR="00247CD1" w:rsidRPr="00247CD1" w:rsidRDefault="00247CD1" w:rsidP="00247CD1">
      <w:pPr>
        <w:spacing w:after="0" w:line="360" w:lineRule="auto"/>
        <w:jc w:val="both"/>
        <w:rPr>
          <w:rFonts w:ascii="Arial" w:eastAsia="Times New Roman" w:hAnsi="Arial" w:cs="Arial"/>
          <w:color w:val="FF0000"/>
          <w:sz w:val="24"/>
          <w:szCs w:val="24"/>
          <w:lang w:eastAsia="pt-BR"/>
        </w:rPr>
      </w:pPr>
    </w:p>
    <w:p w14:paraId="0FFD0ED4" w14:textId="0B95EA85"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3. </w:t>
      </w:r>
      <w:r w:rsidR="00247CD1" w:rsidRPr="00247CD1">
        <w:rPr>
          <w:rFonts w:ascii="Arial" w:eastAsia="Times New Roman" w:hAnsi="Arial" w:cs="Arial"/>
          <w:b/>
          <w:sz w:val="24"/>
          <w:szCs w:val="24"/>
          <w:lang w:eastAsia="pt-BR"/>
        </w:rPr>
        <w:t>DO PLANEJAMENTO PRÉVIO</w:t>
      </w:r>
    </w:p>
    <w:p w14:paraId="7A2E8918"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65C9ABD3" w14:textId="687A4EA0" w:rsidR="00247CD1" w:rsidRPr="00247CD1" w:rsidRDefault="00247CD1" w:rsidP="00247CD1">
      <w:pPr>
        <w:spacing w:after="0" w:line="360" w:lineRule="auto"/>
        <w:ind w:firstLine="851"/>
        <w:jc w:val="both"/>
        <w:rPr>
          <w:rFonts w:ascii="Arial" w:eastAsia="Times New Roman" w:hAnsi="Arial" w:cs="Arial"/>
          <w:color w:val="FF0000"/>
          <w:sz w:val="24"/>
          <w:szCs w:val="24"/>
          <w:lang w:eastAsia="pt-BR"/>
        </w:rPr>
      </w:pPr>
      <w:r w:rsidRPr="00247CD1">
        <w:rPr>
          <w:rFonts w:ascii="Arial" w:eastAsia="Times New Roman" w:hAnsi="Arial" w:cs="Arial"/>
          <w:sz w:val="24"/>
          <w:szCs w:val="24"/>
          <w:lang w:eastAsia="pt-BR"/>
        </w:rPr>
        <w:t>A aquisição pretendida segue as bases e alinhamento com o planejamento estratégico da Administração Pública Municipal e encontra-se de acordo com as diretrizes da Lei Orçamentária Anual, sem prejuízo de outros instrumentos de planejamento institucional</w:t>
      </w:r>
      <w:r w:rsidR="00656373">
        <w:rPr>
          <w:rFonts w:ascii="Arial" w:eastAsia="Times New Roman" w:hAnsi="Arial" w:cs="Arial"/>
          <w:sz w:val="24"/>
          <w:szCs w:val="24"/>
          <w:lang w:eastAsia="pt-BR"/>
        </w:rPr>
        <w:t>.</w:t>
      </w:r>
    </w:p>
    <w:p w14:paraId="04D1A535" w14:textId="77777777" w:rsidR="00247CD1" w:rsidRPr="00247CD1" w:rsidRDefault="00247CD1" w:rsidP="00247CD1">
      <w:pPr>
        <w:spacing w:after="0" w:line="360" w:lineRule="auto"/>
        <w:jc w:val="both"/>
        <w:rPr>
          <w:rFonts w:ascii="Arial" w:eastAsia="Times New Roman" w:hAnsi="Arial" w:cs="Arial"/>
          <w:color w:val="FF0000"/>
          <w:sz w:val="24"/>
          <w:szCs w:val="24"/>
          <w:lang w:eastAsia="pt-BR"/>
        </w:rPr>
      </w:pPr>
    </w:p>
    <w:p w14:paraId="79BB96C7" w14:textId="5F4AB281"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4. </w:t>
      </w:r>
      <w:r w:rsidR="00247CD1" w:rsidRPr="00247CD1">
        <w:rPr>
          <w:rFonts w:ascii="Arial" w:eastAsia="Times New Roman" w:hAnsi="Arial" w:cs="Arial"/>
          <w:b/>
          <w:sz w:val="24"/>
          <w:szCs w:val="24"/>
          <w:lang w:eastAsia="pt-BR"/>
        </w:rPr>
        <w:t>DOS REQUISITOS DA CONTRATAÇÃO</w:t>
      </w:r>
    </w:p>
    <w:p w14:paraId="2C9436CC"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4D06F62B" w14:textId="77777777" w:rsidR="00247CD1" w:rsidRP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 xml:space="preserve">Para a adequada solução das necessidades administrativas pontuadas preliminarmente, a contratação/aquisição pretendida deverá atender os seguintes requisitos </w:t>
      </w:r>
      <w:r w:rsidRPr="00656373">
        <w:rPr>
          <w:rFonts w:ascii="Arial" w:eastAsia="Times New Roman" w:hAnsi="Arial" w:cs="Arial"/>
          <w:color w:val="000000" w:themeColor="text1"/>
          <w:sz w:val="24"/>
          <w:szCs w:val="24"/>
          <w:lang w:eastAsia="pt-BR"/>
        </w:rPr>
        <w:t>mínimos:</w:t>
      </w:r>
    </w:p>
    <w:p w14:paraId="4731B8A4" w14:textId="5079CD93" w:rsidR="001B6D38" w:rsidRPr="00293CF0" w:rsidRDefault="001B6D38" w:rsidP="001B6D38">
      <w:pPr>
        <w:spacing w:after="0" w:line="360" w:lineRule="auto"/>
        <w:ind w:firstLine="851"/>
        <w:jc w:val="both"/>
        <w:rPr>
          <w:rFonts w:ascii="Arial" w:eastAsia="Times New Roman" w:hAnsi="Arial" w:cs="Arial"/>
          <w:color w:val="EE0000"/>
          <w:sz w:val="24"/>
          <w:szCs w:val="24"/>
          <w:lang w:eastAsia="pt-BR"/>
        </w:rPr>
      </w:pPr>
      <w:r>
        <w:rPr>
          <w:rFonts w:ascii="Arial" w:eastAsia="Times New Roman" w:hAnsi="Arial" w:cs="Arial"/>
          <w:b/>
          <w:bCs/>
          <w:sz w:val="24"/>
          <w:szCs w:val="24"/>
          <w:lang w:eastAsia="pt-BR"/>
        </w:rPr>
        <w:t xml:space="preserve">4.1. </w:t>
      </w:r>
      <w:r w:rsidRPr="001B6D38">
        <w:rPr>
          <w:rFonts w:ascii="Arial" w:eastAsia="Times New Roman" w:hAnsi="Arial" w:cs="Arial"/>
          <w:b/>
          <w:bCs/>
          <w:sz w:val="24"/>
          <w:szCs w:val="24"/>
          <w:lang w:eastAsia="pt-BR"/>
        </w:rPr>
        <w:t>Requisitos Técnicos e Normativos:</w:t>
      </w:r>
      <w:r>
        <w:rPr>
          <w:rFonts w:ascii="Arial" w:eastAsia="Times New Roman" w:hAnsi="Arial" w:cs="Arial"/>
          <w:sz w:val="24"/>
          <w:szCs w:val="24"/>
          <w:lang w:eastAsia="pt-BR"/>
        </w:rPr>
        <w:t xml:space="preserve"> </w:t>
      </w:r>
      <w:r w:rsidRPr="001B6D38">
        <w:rPr>
          <w:rFonts w:ascii="Arial" w:eastAsia="Times New Roman" w:hAnsi="Arial" w:cs="Arial"/>
          <w:sz w:val="24"/>
          <w:szCs w:val="24"/>
          <w:lang w:eastAsia="pt-BR"/>
        </w:rPr>
        <w:t xml:space="preserve">A empresa contratada deverá executar o projeto elétrico e a instalação das infraestruturas em conformidade com as normas técnicas da Associação Brasileira de Normas Técnicas (ABNT), especialmente a NBR 5410 (instalações elétricas de baixa tensão), NBR 5413 (iluminância em ambientes de trabalho), NBR 14039 (instalações elétricas em média tensão, quando aplicável) e demais normas correlatas. Além disso, deverão ser observadas as disposições da NR-10, garantindo a segurança dos trabalhadores durante a execução e a proteção dos usuários após a entrega da obra. </w:t>
      </w:r>
      <w:r w:rsidRPr="00AC3AB4">
        <w:rPr>
          <w:rFonts w:ascii="Arial" w:eastAsia="Times New Roman" w:hAnsi="Arial" w:cs="Arial"/>
          <w:color w:val="000000" w:themeColor="text1"/>
          <w:sz w:val="24"/>
          <w:szCs w:val="24"/>
          <w:lang w:eastAsia="pt-BR"/>
        </w:rPr>
        <w:t>O</w:t>
      </w:r>
      <w:r w:rsidRPr="00F7633C">
        <w:rPr>
          <w:rFonts w:ascii="Arial" w:eastAsia="Times New Roman" w:hAnsi="Arial" w:cs="Arial"/>
          <w:color w:val="000000" w:themeColor="text1"/>
          <w:sz w:val="24"/>
          <w:szCs w:val="24"/>
          <w:lang w:eastAsia="pt-BR"/>
        </w:rPr>
        <w:t xml:space="preserve">s serviços deverão incluir todas as etapas necessárias à entrega da instalação </w:t>
      </w:r>
      <w:r w:rsidRPr="00F7633C">
        <w:rPr>
          <w:rFonts w:ascii="Arial" w:eastAsia="Times New Roman" w:hAnsi="Arial" w:cs="Arial"/>
          <w:color w:val="000000" w:themeColor="text1"/>
          <w:sz w:val="24"/>
          <w:szCs w:val="24"/>
          <w:lang w:eastAsia="pt-BR"/>
        </w:rPr>
        <w:lastRenderedPageBreak/>
        <w:t>elétrica pronta para uso, desde o levantamento técnico, dimensionamento de cargas e elaboração de projeto executivo até a instalação, testes e emissão de laudos.</w:t>
      </w:r>
    </w:p>
    <w:p w14:paraId="30604A8F" w14:textId="68832634" w:rsidR="001B6D38" w:rsidRPr="001B6D38" w:rsidRDefault="001B6D38" w:rsidP="001B6D38">
      <w:pPr>
        <w:spacing w:after="0" w:line="360" w:lineRule="auto"/>
        <w:ind w:firstLine="851"/>
        <w:jc w:val="both"/>
        <w:rPr>
          <w:rFonts w:ascii="Arial" w:eastAsia="Times New Roman" w:hAnsi="Arial" w:cs="Arial"/>
          <w:sz w:val="24"/>
          <w:szCs w:val="24"/>
          <w:lang w:eastAsia="pt-BR"/>
        </w:rPr>
      </w:pPr>
      <w:r>
        <w:rPr>
          <w:rFonts w:ascii="Arial" w:eastAsia="Times New Roman" w:hAnsi="Arial" w:cs="Arial"/>
          <w:b/>
          <w:bCs/>
          <w:sz w:val="24"/>
          <w:szCs w:val="24"/>
          <w:lang w:eastAsia="pt-BR"/>
        </w:rPr>
        <w:t xml:space="preserve">4.2. </w:t>
      </w:r>
      <w:r w:rsidRPr="001B6D38">
        <w:rPr>
          <w:rFonts w:ascii="Arial" w:eastAsia="Times New Roman" w:hAnsi="Arial" w:cs="Arial"/>
          <w:b/>
          <w:bCs/>
          <w:sz w:val="24"/>
          <w:szCs w:val="24"/>
          <w:lang w:eastAsia="pt-BR"/>
        </w:rPr>
        <w:t>Requisitos de Qualificação Técnica:</w:t>
      </w:r>
      <w:r>
        <w:rPr>
          <w:rFonts w:ascii="Arial" w:eastAsia="Times New Roman" w:hAnsi="Arial" w:cs="Arial"/>
          <w:sz w:val="24"/>
          <w:szCs w:val="24"/>
          <w:lang w:eastAsia="pt-BR"/>
        </w:rPr>
        <w:t xml:space="preserve"> </w:t>
      </w:r>
      <w:r w:rsidRPr="001B6D38">
        <w:rPr>
          <w:rFonts w:ascii="Arial" w:eastAsia="Times New Roman" w:hAnsi="Arial" w:cs="Arial"/>
          <w:sz w:val="24"/>
          <w:szCs w:val="24"/>
          <w:lang w:eastAsia="pt-BR"/>
        </w:rPr>
        <w:t>A empresa deverá comprovar experiência prévia na execução de projetos e serviços similares, mediante apresentação de atestados de capacidade técnica emitidos por pessoas jurídicas de direito público ou privado. Deverá ainda possuir responsável técnico legalmente habilitado, devidamente registrado no CREA, com emissão da correspondente Anotação de Responsabilidade Técnica (ART) para todas as fases do projeto e da execução. A equipe envolvida deverá ser composta por profissionais qualificados e treinados, com capacitação comprovada em NR-10 e experiência em obras elétricas de porte equivalente.</w:t>
      </w:r>
    </w:p>
    <w:p w14:paraId="4FA495EF" w14:textId="7DC1A45F" w:rsidR="001B6D38" w:rsidRPr="001B6D38" w:rsidRDefault="001B6D38" w:rsidP="001B6D38">
      <w:pPr>
        <w:spacing w:after="0" w:line="360" w:lineRule="auto"/>
        <w:ind w:firstLine="851"/>
        <w:jc w:val="both"/>
        <w:rPr>
          <w:rFonts w:ascii="Arial" w:eastAsia="Times New Roman" w:hAnsi="Arial" w:cs="Arial"/>
          <w:sz w:val="24"/>
          <w:szCs w:val="24"/>
          <w:lang w:eastAsia="pt-BR"/>
        </w:rPr>
      </w:pPr>
      <w:r>
        <w:rPr>
          <w:rFonts w:ascii="Arial" w:eastAsia="Times New Roman" w:hAnsi="Arial" w:cs="Arial"/>
          <w:b/>
          <w:bCs/>
          <w:sz w:val="24"/>
          <w:szCs w:val="24"/>
          <w:lang w:eastAsia="pt-BR"/>
        </w:rPr>
        <w:t xml:space="preserve">4.3. </w:t>
      </w:r>
      <w:r w:rsidRPr="001B6D38">
        <w:rPr>
          <w:rFonts w:ascii="Arial" w:eastAsia="Times New Roman" w:hAnsi="Arial" w:cs="Arial"/>
          <w:b/>
          <w:bCs/>
          <w:sz w:val="24"/>
          <w:szCs w:val="24"/>
          <w:lang w:eastAsia="pt-BR"/>
        </w:rPr>
        <w:t>Requisitos de Materiais e Equipamentos:</w:t>
      </w:r>
      <w:r>
        <w:rPr>
          <w:rFonts w:ascii="Arial" w:eastAsia="Times New Roman" w:hAnsi="Arial" w:cs="Arial"/>
          <w:sz w:val="24"/>
          <w:szCs w:val="24"/>
          <w:lang w:eastAsia="pt-BR"/>
        </w:rPr>
        <w:t xml:space="preserve"> </w:t>
      </w:r>
      <w:r w:rsidRPr="001B6D38">
        <w:rPr>
          <w:rFonts w:ascii="Arial" w:eastAsia="Times New Roman" w:hAnsi="Arial" w:cs="Arial"/>
          <w:sz w:val="24"/>
          <w:szCs w:val="24"/>
          <w:lang w:eastAsia="pt-BR"/>
        </w:rPr>
        <w:t xml:space="preserve">Todos os materiais empregados deverão ser novos, de primeira linha, certificados por órgãos competentes e atender às normas técnicas vigentes, garantindo qualidade, segurança e durabilidade. </w:t>
      </w:r>
      <w:r w:rsidRPr="00F7633C">
        <w:rPr>
          <w:rFonts w:ascii="Arial" w:eastAsia="Times New Roman" w:hAnsi="Arial" w:cs="Arial"/>
          <w:color w:val="000000" w:themeColor="text1"/>
          <w:sz w:val="24"/>
          <w:szCs w:val="24"/>
          <w:lang w:eastAsia="pt-BR"/>
        </w:rPr>
        <w:t xml:space="preserve">A </w:t>
      </w:r>
      <w:r w:rsidR="00F7633C" w:rsidRPr="00F7633C">
        <w:rPr>
          <w:rFonts w:ascii="Arial" w:eastAsia="Times New Roman" w:hAnsi="Arial" w:cs="Arial"/>
          <w:color w:val="000000" w:themeColor="text1"/>
          <w:sz w:val="24"/>
          <w:szCs w:val="24"/>
          <w:lang w:eastAsia="pt-BR"/>
        </w:rPr>
        <w:t>Prefeitura</w:t>
      </w:r>
      <w:r w:rsidRPr="00F7633C">
        <w:rPr>
          <w:rFonts w:ascii="Arial" w:eastAsia="Times New Roman" w:hAnsi="Arial" w:cs="Arial"/>
          <w:color w:val="000000" w:themeColor="text1"/>
          <w:sz w:val="24"/>
          <w:szCs w:val="24"/>
          <w:lang w:eastAsia="pt-BR"/>
        </w:rPr>
        <w:t xml:space="preserve"> </w:t>
      </w:r>
      <w:r w:rsidR="00F7633C" w:rsidRPr="00F7633C">
        <w:rPr>
          <w:rFonts w:ascii="Arial" w:eastAsia="Times New Roman" w:hAnsi="Arial" w:cs="Arial"/>
          <w:color w:val="000000" w:themeColor="text1"/>
          <w:sz w:val="24"/>
          <w:szCs w:val="24"/>
          <w:lang w:eastAsia="pt-BR"/>
        </w:rPr>
        <w:t>irá</w:t>
      </w:r>
      <w:r w:rsidRPr="00F7633C">
        <w:rPr>
          <w:rFonts w:ascii="Arial" w:eastAsia="Times New Roman" w:hAnsi="Arial" w:cs="Arial"/>
          <w:color w:val="000000" w:themeColor="text1"/>
          <w:sz w:val="24"/>
          <w:szCs w:val="24"/>
          <w:lang w:eastAsia="pt-BR"/>
        </w:rPr>
        <w:t xml:space="preserve"> fornecer</w:t>
      </w:r>
      <w:r w:rsidR="00F7633C" w:rsidRPr="00F7633C">
        <w:rPr>
          <w:rFonts w:ascii="Arial" w:eastAsia="Times New Roman" w:hAnsi="Arial" w:cs="Arial"/>
          <w:color w:val="000000" w:themeColor="text1"/>
          <w:sz w:val="24"/>
          <w:szCs w:val="24"/>
          <w:lang w:eastAsia="pt-BR"/>
        </w:rPr>
        <w:t xml:space="preserve"> todos os</w:t>
      </w:r>
      <w:r w:rsidRPr="00F7633C">
        <w:rPr>
          <w:rFonts w:ascii="Arial" w:eastAsia="Times New Roman" w:hAnsi="Arial" w:cs="Arial"/>
          <w:color w:val="000000" w:themeColor="text1"/>
          <w:sz w:val="24"/>
          <w:szCs w:val="24"/>
          <w:lang w:eastAsia="pt-BR"/>
        </w:rPr>
        <w:t xml:space="preserve"> materiais c</w:t>
      </w:r>
      <w:r w:rsidRPr="001B6D38">
        <w:rPr>
          <w:rFonts w:ascii="Arial" w:eastAsia="Times New Roman" w:hAnsi="Arial" w:cs="Arial"/>
          <w:sz w:val="24"/>
          <w:szCs w:val="24"/>
          <w:lang w:eastAsia="pt-BR"/>
        </w:rPr>
        <w:t xml:space="preserve">omo eletrodutos, cabos, conexões, quadros de distribuição, disjuntores, dispositivos de proteção (DPS e DR), tomadas, interruptores, luminárias e componentes diversos, assegurando que possuam selo de conformidade do INMETRO ou equivalente. Os equipamentos utilizados na execução, como ferramentas elétricas, equipamentos de medição e dispositivos de segurança, </w:t>
      </w:r>
      <w:r w:rsidR="00F7633C">
        <w:rPr>
          <w:rFonts w:ascii="Arial" w:eastAsia="Times New Roman" w:hAnsi="Arial" w:cs="Arial"/>
          <w:sz w:val="24"/>
          <w:szCs w:val="24"/>
          <w:lang w:eastAsia="pt-BR"/>
        </w:rPr>
        <w:t xml:space="preserve">serão por encargo da contratada e </w:t>
      </w:r>
      <w:r w:rsidRPr="001B6D38">
        <w:rPr>
          <w:rFonts w:ascii="Arial" w:eastAsia="Times New Roman" w:hAnsi="Arial" w:cs="Arial"/>
          <w:sz w:val="24"/>
          <w:szCs w:val="24"/>
          <w:lang w:eastAsia="pt-BR"/>
        </w:rPr>
        <w:t>deverão estar em perfeito estado de funcionamento, calibrados e em conformidade com as exigências de segurança do trabalho.</w:t>
      </w:r>
    </w:p>
    <w:p w14:paraId="14500698" w14:textId="262A5890" w:rsidR="001B6D38" w:rsidRPr="001B6D38" w:rsidRDefault="001B6D38" w:rsidP="001B6D38">
      <w:pPr>
        <w:spacing w:after="0" w:line="360" w:lineRule="auto"/>
        <w:ind w:firstLine="851"/>
        <w:jc w:val="both"/>
        <w:rPr>
          <w:rFonts w:ascii="Arial" w:eastAsia="Times New Roman" w:hAnsi="Arial" w:cs="Arial"/>
          <w:sz w:val="24"/>
          <w:szCs w:val="24"/>
          <w:lang w:eastAsia="pt-BR"/>
        </w:rPr>
      </w:pPr>
      <w:r>
        <w:rPr>
          <w:rFonts w:ascii="Arial" w:eastAsia="Times New Roman" w:hAnsi="Arial" w:cs="Arial"/>
          <w:b/>
          <w:bCs/>
          <w:sz w:val="24"/>
          <w:szCs w:val="24"/>
          <w:lang w:eastAsia="pt-BR"/>
        </w:rPr>
        <w:t xml:space="preserve">4.4 </w:t>
      </w:r>
      <w:r w:rsidRPr="001B6D38">
        <w:rPr>
          <w:rFonts w:ascii="Arial" w:eastAsia="Times New Roman" w:hAnsi="Arial" w:cs="Arial"/>
          <w:b/>
          <w:bCs/>
          <w:sz w:val="24"/>
          <w:szCs w:val="24"/>
          <w:lang w:eastAsia="pt-BR"/>
        </w:rPr>
        <w:t>Requisitos de Segurança e Meio Ambiente:</w:t>
      </w:r>
      <w:r>
        <w:rPr>
          <w:rFonts w:ascii="Arial" w:eastAsia="Times New Roman" w:hAnsi="Arial" w:cs="Arial"/>
          <w:sz w:val="24"/>
          <w:szCs w:val="24"/>
          <w:lang w:eastAsia="pt-BR"/>
        </w:rPr>
        <w:t xml:space="preserve"> </w:t>
      </w:r>
      <w:r w:rsidRPr="001B6D38">
        <w:rPr>
          <w:rFonts w:ascii="Arial" w:eastAsia="Times New Roman" w:hAnsi="Arial" w:cs="Arial"/>
          <w:sz w:val="24"/>
          <w:szCs w:val="24"/>
          <w:lang w:eastAsia="pt-BR"/>
        </w:rPr>
        <w:t>A execução dos serviços deverá observar estritamente as normas de segurança do trabalho, garantindo que toda a equipe utilize equipamentos de proteção individual (EPIs) e coletiva (EPCs), de acordo com os riscos da atividade. Também deverá ser implantado plano de gerenciamento de resíduos, contemplando o descarte ambientalmente adequado de sobras de cabos, embalagens, conduítes e demais materiais, conforme a Política Nacional de Resíduos Sólidos (Lei nº 12.305/2010). A empresa deverá ainda adotar práticas que reduzam impactos ambientais e que garantam um ambiente de trabalho seguro e organizado.</w:t>
      </w:r>
    </w:p>
    <w:p w14:paraId="7602A147" w14:textId="77423C2F" w:rsidR="001B6D38" w:rsidRPr="001B6D38" w:rsidRDefault="001B6D38" w:rsidP="001B6D38">
      <w:pPr>
        <w:spacing w:after="0" w:line="360" w:lineRule="auto"/>
        <w:ind w:firstLine="851"/>
        <w:jc w:val="both"/>
        <w:rPr>
          <w:rFonts w:ascii="Arial" w:eastAsia="Times New Roman" w:hAnsi="Arial" w:cs="Arial"/>
          <w:sz w:val="24"/>
          <w:szCs w:val="24"/>
          <w:lang w:eastAsia="pt-BR"/>
        </w:rPr>
      </w:pPr>
      <w:r>
        <w:rPr>
          <w:rFonts w:ascii="Arial" w:eastAsia="Times New Roman" w:hAnsi="Arial" w:cs="Arial"/>
          <w:b/>
          <w:bCs/>
          <w:sz w:val="24"/>
          <w:szCs w:val="24"/>
          <w:lang w:eastAsia="pt-BR"/>
        </w:rPr>
        <w:t xml:space="preserve">4.5. </w:t>
      </w:r>
      <w:r w:rsidRPr="001B6D38">
        <w:rPr>
          <w:rFonts w:ascii="Arial" w:eastAsia="Times New Roman" w:hAnsi="Arial" w:cs="Arial"/>
          <w:b/>
          <w:bCs/>
          <w:sz w:val="24"/>
          <w:szCs w:val="24"/>
          <w:lang w:eastAsia="pt-BR"/>
        </w:rPr>
        <w:t>Requisitos de Prazos e Logística:</w:t>
      </w:r>
      <w:r>
        <w:rPr>
          <w:rFonts w:ascii="Arial" w:eastAsia="Times New Roman" w:hAnsi="Arial" w:cs="Arial"/>
          <w:sz w:val="24"/>
          <w:szCs w:val="24"/>
          <w:lang w:eastAsia="pt-BR"/>
        </w:rPr>
        <w:t xml:space="preserve"> </w:t>
      </w:r>
      <w:r w:rsidRPr="001B6D38">
        <w:rPr>
          <w:rFonts w:ascii="Arial" w:eastAsia="Times New Roman" w:hAnsi="Arial" w:cs="Arial"/>
          <w:sz w:val="24"/>
          <w:szCs w:val="24"/>
          <w:lang w:eastAsia="pt-BR"/>
        </w:rPr>
        <w:t>O prazo para a execução dos serviços deverá ser compatível com a complexidade da obra, garantindo o cumprimento do cronograma definido em contrato. A empresa deverá apresentar plano de trabalho detalhado, prevendo as etapas de levantamento, elaboração de projeto, execução, testes, ajustes e entrega.</w:t>
      </w:r>
    </w:p>
    <w:p w14:paraId="4FB2FC1B" w14:textId="6A40442F" w:rsidR="001B6D38" w:rsidRPr="001B6D38" w:rsidRDefault="001B6D38" w:rsidP="001B6D38">
      <w:pPr>
        <w:spacing w:after="0" w:line="360" w:lineRule="auto"/>
        <w:ind w:firstLine="851"/>
        <w:jc w:val="both"/>
        <w:rPr>
          <w:rFonts w:ascii="Arial" w:eastAsia="Times New Roman" w:hAnsi="Arial" w:cs="Arial"/>
          <w:sz w:val="24"/>
          <w:szCs w:val="24"/>
          <w:lang w:eastAsia="pt-BR"/>
        </w:rPr>
      </w:pPr>
      <w:r>
        <w:rPr>
          <w:rFonts w:ascii="Arial" w:eastAsia="Times New Roman" w:hAnsi="Arial" w:cs="Arial"/>
          <w:b/>
          <w:bCs/>
          <w:sz w:val="24"/>
          <w:szCs w:val="24"/>
          <w:lang w:eastAsia="pt-BR"/>
        </w:rPr>
        <w:lastRenderedPageBreak/>
        <w:t xml:space="preserve">4.6. </w:t>
      </w:r>
      <w:r w:rsidRPr="001B6D38">
        <w:rPr>
          <w:rFonts w:ascii="Arial" w:eastAsia="Times New Roman" w:hAnsi="Arial" w:cs="Arial"/>
          <w:b/>
          <w:bCs/>
          <w:sz w:val="24"/>
          <w:szCs w:val="24"/>
          <w:lang w:eastAsia="pt-BR"/>
        </w:rPr>
        <w:t>Requisitos de Entrega e Documentação:</w:t>
      </w:r>
      <w:r>
        <w:rPr>
          <w:rFonts w:ascii="Arial" w:eastAsia="Times New Roman" w:hAnsi="Arial" w:cs="Arial"/>
          <w:sz w:val="24"/>
          <w:szCs w:val="24"/>
          <w:lang w:eastAsia="pt-BR"/>
        </w:rPr>
        <w:t xml:space="preserve"> </w:t>
      </w:r>
      <w:r w:rsidRPr="001B6D38">
        <w:rPr>
          <w:rFonts w:ascii="Arial" w:eastAsia="Times New Roman" w:hAnsi="Arial" w:cs="Arial"/>
          <w:sz w:val="24"/>
          <w:szCs w:val="24"/>
          <w:lang w:eastAsia="pt-BR"/>
        </w:rPr>
        <w:t>Ao término da execução, a contratada deverá entregar toda a documentação técnica correspondente, incluindo projeto executivo atualizado (as built), memoriais descritivos, cálculos de demanda e dimensionamento, relatórios de ensaios e testes (como resistência de isolação e continuidade de aterramento), laudos de conformidade e ART</w:t>
      </w:r>
      <w:r>
        <w:rPr>
          <w:rFonts w:ascii="Arial" w:eastAsia="Times New Roman" w:hAnsi="Arial" w:cs="Arial"/>
          <w:sz w:val="24"/>
          <w:szCs w:val="24"/>
          <w:lang w:eastAsia="pt-BR"/>
        </w:rPr>
        <w:t>’</w:t>
      </w:r>
      <w:r w:rsidRPr="001B6D38">
        <w:rPr>
          <w:rFonts w:ascii="Arial" w:eastAsia="Times New Roman" w:hAnsi="Arial" w:cs="Arial"/>
          <w:sz w:val="24"/>
          <w:szCs w:val="24"/>
          <w:lang w:eastAsia="pt-BR"/>
        </w:rPr>
        <w:t>s devidamente registradas. Essa documentação deverá servir como base para futuras manutenções e ampliações da instalação elétrica, garantindo rastreabilidade e transparência. Deverá ainda ser fornecido termo de garantia dos serviços e manuais de operação e manutenção preventiva.</w:t>
      </w:r>
    </w:p>
    <w:p w14:paraId="0CA45602" w14:textId="5B9ADD30" w:rsidR="001B6D38" w:rsidRDefault="001B6D38" w:rsidP="001B6D38">
      <w:pPr>
        <w:spacing w:after="0" w:line="360" w:lineRule="auto"/>
        <w:ind w:firstLine="851"/>
        <w:jc w:val="both"/>
        <w:rPr>
          <w:rFonts w:ascii="Arial" w:eastAsia="Times New Roman" w:hAnsi="Arial" w:cs="Arial"/>
          <w:sz w:val="24"/>
          <w:szCs w:val="24"/>
          <w:lang w:eastAsia="pt-BR"/>
        </w:rPr>
      </w:pPr>
      <w:r>
        <w:rPr>
          <w:rFonts w:ascii="Arial" w:eastAsia="Times New Roman" w:hAnsi="Arial" w:cs="Arial"/>
          <w:b/>
          <w:bCs/>
          <w:sz w:val="24"/>
          <w:szCs w:val="24"/>
          <w:lang w:eastAsia="pt-BR"/>
        </w:rPr>
        <w:t xml:space="preserve">4.7. </w:t>
      </w:r>
      <w:r w:rsidRPr="001B6D38">
        <w:rPr>
          <w:rFonts w:ascii="Arial" w:eastAsia="Times New Roman" w:hAnsi="Arial" w:cs="Arial"/>
          <w:b/>
          <w:bCs/>
          <w:sz w:val="24"/>
          <w:szCs w:val="24"/>
          <w:lang w:eastAsia="pt-BR"/>
        </w:rPr>
        <w:t>Requisitos de Garantia e Assistência Técnica:</w:t>
      </w:r>
      <w:r>
        <w:rPr>
          <w:rFonts w:ascii="Arial" w:eastAsia="Times New Roman" w:hAnsi="Arial" w:cs="Arial"/>
          <w:sz w:val="24"/>
          <w:szCs w:val="24"/>
          <w:lang w:eastAsia="pt-BR"/>
        </w:rPr>
        <w:t xml:space="preserve"> </w:t>
      </w:r>
      <w:r w:rsidRPr="001B6D38">
        <w:rPr>
          <w:rFonts w:ascii="Arial" w:eastAsia="Times New Roman" w:hAnsi="Arial" w:cs="Arial"/>
          <w:sz w:val="24"/>
          <w:szCs w:val="24"/>
          <w:lang w:eastAsia="pt-BR"/>
        </w:rPr>
        <w:t>A empresa deverá oferecer garantia mínima sobre os serviços executados e materiais aplicados, cobrindo defeitos de instalação ou não conformidade técnica. Além disso, deverá prestar assistência técnica durante o período de garantia, responsabilizando-se por ajustes, reparos ou substituições sem ônus para a Administração. A garantia deverá assegurar que as instalações elétricas mantenham seu pleno funcionamento e segurança durante todo o período contratual, reduzindo riscos de falhas prematuras e promovendo a confiança na contratação.</w:t>
      </w:r>
    </w:p>
    <w:p w14:paraId="47332800" w14:textId="77777777" w:rsidR="001B6D38" w:rsidRPr="00247CD1" w:rsidRDefault="001B6D38" w:rsidP="00247CD1">
      <w:pPr>
        <w:spacing w:after="0" w:line="360" w:lineRule="auto"/>
        <w:jc w:val="both"/>
        <w:rPr>
          <w:rFonts w:ascii="Arial" w:eastAsia="Times New Roman" w:hAnsi="Arial" w:cs="Arial"/>
          <w:sz w:val="24"/>
          <w:szCs w:val="24"/>
          <w:lang w:eastAsia="pt-BR"/>
        </w:rPr>
      </w:pPr>
    </w:p>
    <w:p w14:paraId="3002AFB7" w14:textId="4963666B"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5. </w:t>
      </w:r>
      <w:r w:rsidR="00247CD1" w:rsidRPr="00247CD1">
        <w:rPr>
          <w:rFonts w:ascii="Arial" w:eastAsia="Times New Roman" w:hAnsi="Arial" w:cs="Arial"/>
          <w:b/>
          <w:sz w:val="24"/>
          <w:szCs w:val="24"/>
          <w:lang w:eastAsia="pt-BR"/>
        </w:rPr>
        <w:t>QUANTIDADES ESTIMADAS DA CONTRATAÇÃO</w:t>
      </w:r>
    </w:p>
    <w:p w14:paraId="721BD977"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3172B034" w14:textId="77777777" w:rsidR="00247CD1" w:rsidRP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Em atendimento ao que estabelece o artigo 10, inciso IV do Decreto Municipal nº 007/24, para satisfazer integralmente as necessidades administrativas e atender o interesse público envolvido, as quantidades envolvidas na futura contratação foram auferidas a partir da seguinte metodologia:</w:t>
      </w:r>
    </w:p>
    <w:p w14:paraId="7F93EF1D" w14:textId="6FA75C93" w:rsidR="001B6D38" w:rsidRPr="00247CD1" w:rsidRDefault="00247CD1" w:rsidP="001B6D38">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Levantamento das atuais condições e necessidades envolvid</w:t>
      </w:r>
      <w:r w:rsidR="001B6D38">
        <w:rPr>
          <w:rFonts w:ascii="Arial" w:eastAsia="Times New Roman" w:hAnsi="Arial" w:cs="Arial"/>
          <w:sz w:val="24"/>
          <w:szCs w:val="24"/>
          <w:lang w:eastAsia="pt-BR"/>
        </w:rPr>
        <w:t>a</w:t>
      </w:r>
      <w:r w:rsidRPr="00247CD1">
        <w:rPr>
          <w:rFonts w:ascii="Arial" w:eastAsia="Times New Roman" w:hAnsi="Arial" w:cs="Arial"/>
          <w:sz w:val="24"/>
          <w:szCs w:val="24"/>
          <w:lang w:eastAsia="pt-BR"/>
        </w:rPr>
        <w:t>s na execução das atividades administrativas</w:t>
      </w:r>
      <w:r w:rsidR="001B6D38">
        <w:rPr>
          <w:rFonts w:ascii="Arial" w:eastAsia="Times New Roman" w:hAnsi="Arial" w:cs="Arial"/>
          <w:sz w:val="24"/>
          <w:szCs w:val="24"/>
          <w:lang w:eastAsia="pt-BR"/>
        </w:rPr>
        <w:t xml:space="preserve"> e nas atividades da Vigilância da Saúde.</w:t>
      </w:r>
    </w:p>
    <w:p w14:paraId="4C7DBAAA" w14:textId="02976A51" w:rsidR="00247CD1" w:rsidRP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Dessa forma, a presente contratação deverá compreender os seguintes itens com os respectivos quantitativos estimados</w:t>
      </w:r>
      <w:r w:rsidR="001B6D38">
        <w:rPr>
          <w:rFonts w:ascii="Arial" w:eastAsia="Times New Roman" w:hAnsi="Arial" w:cs="Arial"/>
          <w:sz w:val="24"/>
          <w:szCs w:val="24"/>
          <w:lang w:eastAsia="pt-BR"/>
        </w:rPr>
        <w:t>:</w:t>
      </w:r>
    </w:p>
    <w:p w14:paraId="0E6EF57C" w14:textId="77777777" w:rsidR="00247CD1" w:rsidRPr="00247CD1" w:rsidRDefault="00247CD1" w:rsidP="00247CD1">
      <w:pPr>
        <w:spacing w:after="0" w:line="360" w:lineRule="auto"/>
        <w:ind w:firstLine="851"/>
        <w:jc w:val="both"/>
        <w:rPr>
          <w:rFonts w:ascii="Arial" w:eastAsia="Times New Roman" w:hAnsi="Arial" w:cs="Arial"/>
          <w:sz w:val="24"/>
          <w:szCs w:val="24"/>
          <w:lang w:eastAsia="pt-BR"/>
        </w:rPr>
      </w:pPr>
    </w:p>
    <w:tbl>
      <w:tblPr>
        <w:tblStyle w:val="Tabelacomgrade"/>
        <w:tblW w:w="10207" w:type="dxa"/>
        <w:tblInd w:w="-176" w:type="dxa"/>
        <w:tblLook w:val="04A0" w:firstRow="1" w:lastRow="0" w:firstColumn="1" w:lastColumn="0" w:noHBand="0" w:noVBand="1"/>
      </w:tblPr>
      <w:tblGrid>
        <w:gridCol w:w="694"/>
        <w:gridCol w:w="761"/>
        <w:gridCol w:w="1126"/>
        <w:gridCol w:w="7626"/>
      </w:tblGrid>
      <w:tr w:rsidR="00247CD1" w:rsidRPr="00247CD1" w14:paraId="065047D2" w14:textId="77777777" w:rsidTr="00D675F3">
        <w:trPr>
          <w:trHeight w:val="454"/>
        </w:trPr>
        <w:tc>
          <w:tcPr>
            <w:tcW w:w="694" w:type="dxa"/>
            <w:vAlign w:val="center"/>
          </w:tcPr>
          <w:p w14:paraId="51CC54D6" w14:textId="77777777" w:rsidR="00247CD1" w:rsidRPr="00247CD1" w:rsidRDefault="00247CD1" w:rsidP="00247CD1">
            <w:pPr>
              <w:spacing w:before="120" w:line="360" w:lineRule="auto"/>
              <w:jc w:val="center"/>
              <w:rPr>
                <w:rFonts w:ascii="Arial" w:hAnsi="Arial" w:cs="Arial"/>
              </w:rPr>
            </w:pPr>
            <w:r w:rsidRPr="00247CD1">
              <w:rPr>
                <w:rFonts w:ascii="Arial" w:hAnsi="Arial" w:cs="Arial"/>
              </w:rPr>
              <w:t>ITEM</w:t>
            </w:r>
          </w:p>
        </w:tc>
        <w:tc>
          <w:tcPr>
            <w:tcW w:w="761" w:type="dxa"/>
            <w:vAlign w:val="center"/>
          </w:tcPr>
          <w:p w14:paraId="26DF77D3" w14:textId="77777777" w:rsidR="00247CD1" w:rsidRPr="00247CD1" w:rsidRDefault="00247CD1" w:rsidP="00247CD1">
            <w:pPr>
              <w:spacing w:before="120" w:line="360" w:lineRule="auto"/>
              <w:jc w:val="center"/>
              <w:rPr>
                <w:rFonts w:ascii="Arial" w:hAnsi="Arial" w:cs="Arial"/>
              </w:rPr>
            </w:pPr>
            <w:r w:rsidRPr="00247CD1">
              <w:rPr>
                <w:rFonts w:ascii="Arial" w:hAnsi="Arial" w:cs="Arial"/>
              </w:rPr>
              <w:t>UNID.</w:t>
            </w:r>
          </w:p>
        </w:tc>
        <w:tc>
          <w:tcPr>
            <w:tcW w:w="1126" w:type="dxa"/>
            <w:vAlign w:val="center"/>
          </w:tcPr>
          <w:p w14:paraId="6604AA93" w14:textId="03F98AA8" w:rsidR="00247CD1" w:rsidRPr="00247CD1" w:rsidRDefault="00247CD1" w:rsidP="00247CD1">
            <w:pPr>
              <w:spacing w:before="120" w:line="360" w:lineRule="auto"/>
              <w:jc w:val="center"/>
              <w:rPr>
                <w:rFonts w:ascii="Arial" w:hAnsi="Arial" w:cs="Arial"/>
              </w:rPr>
            </w:pPr>
            <w:r w:rsidRPr="00247CD1">
              <w:rPr>
                <w:rFonts w:ascii="Arial" w:hAnsi="Arial" w:cs="Arial"/>
              </w:rPr>
              <w:t>QUANT</w:t>
            </w:r>
            <w:r w:rsidR="00D675F3">
              <w:rPr>
                <w:rFonts w:ascii="Arial" w:hAnsi="Arial" w:cs="Arial"/>
              </w:rPr>
              <w:t>.</w:t>
            </w:r>
          </w:p>
        </w:tc>
        <w:tc>
          <w:tcPr>
            <w:tcW w:w="7626" w:type="dxa"/>
            <w:vAlign w:val="center"/>
          </w:tcPr>
          <w:p w14:paraId="5C10A9D5" w14:textId="77777777" w:rsidR="00247CD1" w:rsidRPr="00247CD1" w:rsidRDefault="00247CD1" w:rsidP="00247CD1">
            <w:pPr>
              <w:spacing w:before="120" w:line="360" w:lineRule="auto"/>
              <w:jc w:val="center"/>
              <w:rPr>
                <w:rFonts w:ascii="Arial" w:hAnsi="Arial" w:cs="Arial"/>
              </w:rPr>
            </w:pPr>
            <w:r w:rsidRPr="00247CD1">
              <w:rPr>
                <w:rFonts w:ascii="Arial" w:hAnsi="Arial" w:cs="Arial"/>
              </w:rPr>
              <w:t>DESCRIÇÃO</w:t>
            </w:r>
          </w:p>
        </w:tc>
      </w:tr>
      <w:tr w:rsidR="00247CD1" w:rsidRPr="00247CD1" w14:paraId="346D66E5" w14:textId="77777777" w:rsidTr="007E729C">
        <w:trPr>
          <w:trHeight w:val="454"/>
        </w:trPr>
        <w:tc>
          <w:tcPr>
            <w:tcW w:w="694" w:type="dxa"/>
          </w:tcPr>
          <w:p w14:paraId="50DFE4EE" w14:textId="77777777" w:rsidR="00247CD1" w:rsidRPr="00247CD1" w:rsidRDefault="00247CD1" w:rsidP="007E729C">
            <w:pPr>
              <w:spacing w:before="120" w:line="360" w:lineRule="auto"/>
              <w:jc w:val="center"/>
              <w:rPr>
                <w:rFonts w:ascii="Arial" w:hAnsi="Arial" w:cs="Arial"/>
              </w:rPr>
            </w:pPr>
            <w:r w:rsidRPr="00247CD1">
              <w:rPr>
                <w:rFonts w:ascii="Arial" w:hAnsi="Arial" w:cs="Arial"/>
              </w:rPr>
              <w:t>01</w:t>
            </w:r>
          </w:p>
        </w:tc>
        <w:tc>
          <w:tcPr>
            <w:tcW w:w="761" w:type="dxa"/>
          </w:tcPr>
          <w:p w14:paraId="385E6DA8" w14:textId="487B879A" w:rsidR="00247CD1" w:rsidRPr="00247CD1" w:rsidRDefault="00D675F3" w:rsidP="007E729C">
            <w:pPr>
              <w:spacing w:before="120" w:line="360" w:lineRule="auto"/>
              <w:jc w:val="center"/>
              <w:rPr>
                <w:rFonts w:ascii="Arial" w:hAnsi="Arial" w:cs="Arial"/>
              </w:rPr>
            </w:pPr>
            <w:r>
              <w:rPr>
                <w:rFonts w:ascii="Arial" w:hAnsi="Arial" w:cs="Arial"/>
              </w:rPr>
              <w:t>Sv</w:t>
            </w:r>
          </w:p>
        </w:tc>
        <w:tc>
          <w:tcPr>
            <w:tcW w:w="1126" w:type="dxa"/>
          </w:tcPr>
          <w:p w14:paraId="19A18ECA" w14:textId="460DEBD2" w:rsidR="00247CD1" w:rsidRPr="00247CD1" w:rsidRDefault="00D675F3" w:rsidP="007E729C">
            <w:pPr>
              <w:spacing w:before="120" w:line="360" w:lineRule="auto"/>
              <w:jc w:val="center"/>
              <w:rPr>
                <w:rFonts w:ascii="Arial" w:hAnsi="Arial" w:cs="Arial"/>
              </w:rPr>
            </w:pPr>
            <w:r>
              <w:rPr>
                <w:rFonts w:ascii="Arial" w:hAnsi="Arial" w:cs="Arial"/>
              </w:rPr>
              <w:t>1</w:t>
            </w:r>
          </w:p>
        </w:tc>
        <w:tc>
          <w:tcPr>
            <w:tcW w:w="7626" w:type="dxa"/>
            <w:vAlign w:val="center"/>
          </w:tcPr>
          <w:p w14:paraId="50C72766" w14:textId="77777777" w:rsidR="00247CD1" w:rsidRDefault="00D675F3" w:rsidP="007E729C">
            <w:pPr>
              <w:spacing w:before="120" w:line="276" w:lineRule="auto"/>
              <w:jc w:val="both"/>
              <w:rPr>
                <w:rFonts w:ascii="Arial" w:hAnsi="Arial" w:cs="Arial"/>
              </w:rPr>
            </w:pPr>
            <w:r w:rsidRPr="00D675F3">
              <w:rPr>
                <w:rFonts w:ascii="Arial" w:hAnsi="Arial" w:cs="Arial"/>
              </w:rPr>
              <w:t>Contratação de Empresa Técnica Especializada para Execução de Projeto Elétrico das Instalações do Prédio da Vigilância da Saúde do Município de Ibirarema/SP</w:t>
            </w:r>
            <w:r>
              <w:rPr>
                <w:rFonts w:ascii="Arial" w:hAnsi="Arial" w:cs="Arial"/>
              </w:rPr>
              <w:t>, contemplando as seguintes fases:</w:t>
            </w:r>
          </w:p>
          <w:p w14:paraId="24E7EFAD" w14:textId="2C3E09BB" w:rsidR="00BD5000" w:rsidRPr="007E729C" w:rsidRDefault="00BD5000" w:rsidP="007E729C">
            <w:pPr>
              <w:spacing w:line="276" w:lineRule="auto"/>
              <w:jc w:val="both"/>
              <w:rPr>
                <w:rFonts w:ascii="Arial" w:hAnsi="Arial" w:cs="Arial"/>
                <w:b/>
                <w:bCs/>
              </w:rPr>
            </w:pPr>
            <w:r w:rsidRPr="007E729C">
              <w:rPr>
                <w:rFonts w:ascii="Arial" w:hAnsi="Arial" w:cs="Arial"/>
                <w:b/>
                <w:bCs/>
              </w:rPr>
              <w:t>1. Levantamento e Preparação do Canteiro de Obras</w:t>
            </w:r>
            <w:r w:rsidR="00B50E1F" w:rsidRPr="007E729C">
              <w:rPr>
                <w:rFonts w:ascii="Arial" w:hAnsi="Arial" w:cs="Arial"/>
                <w:b/>
                <w:bCs/>
              </w:rPr>
              <w:t>:</w:t>
            </w:r>
          </w:p>
          <w:p w14:paraId="70E290EB" w14:textId="64E73980" w:rsidR="00BD5000" w:rsidRPr="00BD5000" w:rsidRDefault="00BD5000" w:rsidP="007E729C">
            <w:pPr>
              <w:spacing w:line="276" w:lineRule="auto"/>
              <w:ind w:firstLine="284"/>
              <w:jc w:val="both"/>
              <w:rPr>
                <w:rFonts w:ascii="Arial" w:hAnsi="Arial" w:cs="Arial"/>
              </w:rPr>
            </w:pPr>
            <w:r>
              <w:rPr>
                <w:rFonts w:ascii="Arial" w:hAnsi="Arial" w:cs="Arial"/>
              </w:rPr>
              <w:t xml:space="preserve">1.1. </w:t>
            </w:r>
            <w:r w:rsidRPr="00BD5000">
              <w:rPr>
                <w:rFonts w:ascii="Arial" w:hAnsi="Arial" w:cs="Arial"/>
              </w:rPr>
              <w:t>Análise e conferência do projeto executivo</w:t>
            </w:r>
            <w:r w:rsidR="00B50E1F">
              <w:rPr>
                <w:rFonts w:ascii="Arial" w:hAnsi="Arial" w:cs="Arial"/>
              </w:rPr>
              <w:t>;</w:t>
            </w:r>
          </w:p>
          <w:p w14:paraId="3EDE75BE" w14:textId="556580C9" w:rsidR="00BD5000" w:rsidRPr="00BD5000" w:rsidRDefault="00BD5000" w:rsidP="007E729C">
            <w:pPr>
              <w:spacing w:line="276" w:lineRule="auto"/>
              <w:ind w:firstLine="284"/>
              <w:jc w:val="both"/>
              <w:rPr>
                <w:rFonts w:ascii="Arial" w:hAnsi="Arial" w:cs="Arial"/>
              </w:rPr>
            </w:pPr>
            <w:r>
              <w:rPr>
                <w:rFonts w:ascii="Arial" w:hAnsi="Arial" w:cs="Arial"/>
              </w:rPr>
              <w:t xml:space="preserve">1.2. </w:t>
            </w:r>
            <w:r w:rsidRPr="00BD5000">
              <w:rPr>
                <w:rFonts w:ascii="Arial" w:hAnsi="Arial" w:cs="Arial"/>
              </w:rPr>
              <w:t>Delimitaç</w:t>
            </w:r>
            <w:r>
              <w:rPr>
                <w:rFonts w:ascii="Arial" w:hAnsi="Arial" w:cs="Arial"/>
              </w:rPr>
              <w:t>ã</w:t>
            </w:r>
            <w:r w:rsidRPr="00BD5000">
              <w:rPr>
                <w:rFonts w:ascii="Arial" w:hAnsi="Arial" w:cs="Arial"/>
              </w:rPr>
              <w:t xml:space="preserve">o das </w:t>
            </w:r>
            <w:r>
              <w:rPr>
                <w:rFonts w:ascii="Arial" w:hAnsi="Arial" w:cs="Arial"/>
              </w:rPr>
              <w:t>á</w:t>
            </w:r>
            <w:r w:rsidRPr="00BD5000">
              <w:rPr>
                <w:rFonts w:ascii="Arial" w:hAnsi="Arial" w:cs="Arial"/>
              </w:rPr>
              <w:t>reas de instalação elétrica</w:t>
            </w:r>
            <w:r w:rsidR="00B50E1F">
              <w:rPr>
                <w:rFonts w:ascii="Arial" w:hAnsi="Arial" w:cs="Arial"/>
              </w:rPr>
              <w:t>;</w:t>
            </w:r>
          </w:p>
          <w:p w14:paraId="7757C2ED" w14:textId="75CB423B" w:rsidR="00BD5000" w:rsidRPr="00BD5000" w:rsidRDefault="00BD5000" w:rsidP="007E729C">
            <w:pPr>
              <w:spacing w:line="276" w:lineRule="auto"/>
              <w:ind w:firstLine="284"/>
              <w:jc w:val="both"/>
              <w:rPr>
                <w:rFonts w:ascii="Arial" w:hAnsi="Arial" w:cs="Arial"/>
              </w:rPr>
            </w:pPr>
            <w:r>
              <w:rPr>
                <w:rFonts w:ascii="Arial" w:hAnsi="Arial" w:cs="Arial"/>
              </w:rPr>
              <w:t xml:space="preserve">1.3. </w:t>
            </w:r>
            <w:r w:rsidRPr="00BD5000">
              <w:rPr>
                <w:rFonts w:ascii="Arial" w:hAnsi="Arial" w:cs="Arial"/>
              </w:rPr>
              <w:t>Organização de materiais e ferramentas necessários</w:t>
            </w:r>
            <w:r w:rsidR="007E729C">
              <w:rPr>
                <w:rFonts w:ascii="Arial" w:hAnsi="Arial" w:cs="Arial"/>
              </w:rPr>
              <w:t>.</w:t>
            </w:r>
          </w:p>
          <w:p w14:paraId="69ED931A" w14:textId="45AC28D3" w:rsidR="00BD5000" w:rsidRPr="007E729C" w:rsidRDefault="00BD5000" w:rsidP="007E729C">
            <w:pPr>
              <w:spacing w:line="276" w:lineRule="auto"/>
              <w:jc w:val="both"/>
              <w:rPr>
                <w:rFonts w:ascii="Arial" w:hAnsi="Arial" w:cs="Arial"/>
                <w:b/>
                <w:bCs/>
              </w:rPr>
            </w:pPr>
            <w:r w:rsidRPr="007E729C">
              <w:rPr>
                <w:rFonts w:ascii="Arial" w:hAnsi="Arial" w:cs="Arial"/>
                <w:b/>
                <w:bCs/>
              </w:rPr>
              <w:t>2. Execução da Infraestrutura Elétrica</w:t>
            </w:r>
            <w:r w:rsidR="00B50E1F" w:rsidRPr="007E729C">
              <w:rPr>
                <w:rFonts w:ascii="Arial" w:hAnsi="Arial" w:cs="Arial"/>
                <w:b/>
                <w:bCs/>
              </w:rPr>
              <w:t>:</w:t>
            </w:r>
          </w:p>
          <w:p w14:paraId="54CFF048" w14:textId="6E621BEA" w:rsidR="00BD5000" w:rsidRDefault="00BD5000" w:rsidP="007E729C">
            <w:pPr>
              <w:spacing w:line="276" w:lineRule="auto"/>
              <w:ind w:firstLine="284"/>
              <w:jc w:val="both"/>
              <w:rPr>
                <w:rFonts w:ascii="Arial" w:hAnsi="Arial" w:cs="Arial"/>
              </w:rPr>
            </w:pPr>
            <w:r>
              <w:rPr>
                <w:rFonts w:ascii="Arial" w:hAnsi="Arial" w:cs="Arial"/>
              </w:rPr>
              <w:lastRenderedPageBreak/>
              <w:t xml:space="preserve">2.1. </w:t>
            </w:r>
            <w:r w:rsidRPr="00BD5000">
              <w:rPr>
                <w:rFonts w:ascii="Arial" w:hAnsi="Arial" w:cs="Arial"/>
              </w:rPr>
              <w:t>Instalaç</w:t>
            </w:r>
            <w:r>
              <w:rPr>
                <w:rFonts w:ascii="Arial" w:hAnsi="Arial" w:cs="Arial"/>
              </w:rPr>
              <w:t>ã</w:t>
            </w:r>
            <w:r w:rsidRPr="00BD5000">
              <w:rPr>
                <w:rFonts w:ascii="Arial" w:hAnsi="Arial" w:cs="Arial"/>
              </w:rPr>
              <w:t xml:space="preserve">o de eletrodutos galvanizados rígidos em paredes e tetos </w:t>
            </w:r>
            <w:r>
              <w:rPr>
                <w:rFonts w:ascii="Arial" w:hAnsi="Arial" w:cs="Arial"/>
              </w:rPr>
              <w:t xml:space="preserve">superfície </w:t>
            </w:r>
            <w:r w:rsidRPr="00BD5000">
              <w:rPr>
                <w:rFonts w:ascii="Arial" w:hAnsi="Arial" w:cs="Arial"/>
              </w:rPr>
              <w:t xml:space="preserve">garantindo </w:t>
            </w:r>
            <w:r>
              <w:rPr>
                <w:rFonts w:ascii="Arial" w:hAnsi="Arial" w:cs="Arial"/>
              </w:rPr>
              <w:t>os devidos espaçamentos e fixações com abraçadeiras metálicas e buchas adequadas</w:t>
            </w:r>
            <w:r w:rsidR="00B50E1F">
              <w:rPr>
                <w:rFonts w:ascii="Arial" w:hAnsi="Arial" w:cs="Arial"/>
              </w:rPr>
              <w:t>;</w:t>
            </w:r>
          </w:p>
          <w:p w14:paraId="38F8DCE3" w14:textId="45790BF5" w:rsidR="00B50E1F" w:rsidRDefault="00B50E1F" w:rsidP="007E729C">
            <w:pPr>
              <w:spacing w:line="276" w:lineRule="auto"/>
              <w:ind w:firstLine="284"/>
              <w:jc w:val="both"/>
              <w:rPr>
                <w:rFonts w:ascii="Arial" w:hAnsi="Arial" w:cs="Arial"/>
              </w:rPr>
            </w:pPr>
            <w:r>
              <w:rPr>
                <w:rFonts w:ascii="Arial" w:hAnsi="Arial" w:cs="Arial"/>
              </w:rPr>
              <w:t>2.2. Execução de curvas e derivações nos eletrodutos com curvadores manuais ou elétricos, assegurando o raio mínimo de curvatura conforme norma</w:t>
            </w:r>
            <w:r w:rsidR="007E729C">
              <w:rPr>
                <w:rFonts w:ascii="Arial" w:hAnsi="Arial" w:cs="Arial"/>
              </w:rPr>
              <w:t>.</w:t>
            </w:r>
          </w:p>
          <w:p w14:paraId="61E96A75" w14:textId="2C10D917" w:rsidR="00B50E1F" w:rsidRPr="007E729C" w:rsidRDefault="00B50E1F" w:rsidP="007E729C">
            <w:pPr>
              <w:spacing w:line="276" w:lineRule="auto"/>
              <w:jc w:val="both"/>
              <w:rPr>
                <w:rFonts w:ascii="Arial" w:hAnsi="Arial" w:cs="Arial"/>
                <w:b/>
                <w:bCs/>
              </w:rPr>
            </w:pPr>
            <w:r w:rsidRPr="007E729C">
              <w:rPr>
                <w:rFonts w:ascii="Arial" w:hAnsi="Arial" w:cs="Arial"/>
                <w:b/>
                <w:bCs/>
              </w:rPr>
              <w:t>3. Instalação de Caixas de Passagem e Caixas de Derivação:</w:t>
            </w:r>
          </w:p>
          <w:p w14:paraId="482DD593" w14:textId="72CA3327" w:rsidR="00B50E1F" w:rsidRDefault="00B50E1F" w:rsidP="007E729C">
            <w:pPr>
              <w:spacing w:line="276" w:lineRule="auto"/>
              <w:ind w:firstLine="284"/>
              <w:jc w:val="both"/>
              <w:rPr>
                <w:rFonts w:ascii="Arial" w:hAnsi="Arial" w:cs="Arial"/>
              </w:rPr>
            </w:pPr>
            <w:r>
              <w:rPr>
                <w:rFonts w:ascii="Arial" w:hAnsi="Arial" w:cs="Arial"/>
              </w:rPr>
              <w:t>3.1. Posicionamento e fixação das caixas de sobrepor para tomadas, interruptores e derivação;</w:t>
            </w:r>
          </w:p>
          <w:p w14:paraId="2EE5F9DE" w14:textId="70DF00CF" w:rsidR="00B50E1F" w:rsidRDefault="00B50E1F" w:rsidP="007E729C">
            <w:pPr>
              <w:spacing w:line="276" w:lineRule="auto"/>
              <w:ind w:firstLine="284"/>
              <w:jc w:val="both"/>
              <w:rPr>
                <w:rFonts w:ascii="Arial" w:hAnsi="Arial" w:cs="Arial"/>
              </w:rPr>
            </w:pPr>
            <w:r>
              <w:rPr>
                <w:rFonts w:ascii="Arial" w:hAnsi="Arial" w:cs="Arial"/>
              </w:rPr>
              <w:t>3.2. Vedação e nivelamento adequado para posterior acabamento</w:t>
            </w:r>
            <w:r w:rsidR="007E729C">
              <w:rPr>
                <w:rFonts w:ascii="Arial" w:hAnsi="Arial" w:cs="Arial"/>
              </w:rPr>
              <w:t>.</w:t>
            </w:r>
          </w:p>
          <w:p w14:paraId="320E04E9" w14:textId="6DF79063" w:rsidR="00B50E1F" w:rsidRPr="007E729C" w:rsidRDefault="00B50E1F" w:rsidP="007E729C">
            <w:pPr>
              <w:spacing w:line="276" w:lineRule="auto"/>
              <w:jc w:val="both"/>
              <w:rPr>
                <w:rFonts w:ascii="Arial" w:hAnsi="Arial" w:cs="Arial"/>
                <w:b/>
                <w:bCs/>
              </w:rPr>
            </w:pPr>
            <w:r w:rsidRPr="007E729C">
              <w:rPr>
                <w:rFonts w:ascii="Arial" w:hAnsi="Arial" w:cs="Arial"/>
                <w:b/>
                <w:bCs/>
              </w:rPr>
              <w:t>4. Lançamento de Cabos:</w:t>
            </w:r>
          </w:p>
          <w:p w14:paraId="1FBB92CA" w14:textId="592944FB" w:rsidR="00B50E1F" w:rsidRDefault="00B50E1F" w:rsidP="007E729C">
            <w:pPr>
              <w:spacing w:line="276" w:lineRule="auto"/>
              <w:ind w:firstLine="284"/>
              <w:jc w:val="both"/>
              <w:rPr>
                <w:rFonts w:ascii="Arial" w:hAnsi="Arial" w:cs="Arial"/>
              </w:rPr>
            </w:pPr>
            <w:r>
              <w:rPr>
                <w:rFonts w:ascii="Arial" w:hAnsi="Arial" w:cs="Arial"/>
              </w:rPr>
              <w:t>4.1. Escolha dos condutores de acordo com a bitola, isolação e cores definidas em projeto;</w:t>
            </w:r>
          </w:p>
          <w:p w14:paraId="32E5E5F8" w14:textId="1E551679" w:rsidR="00B50E1F" w:rsidRDefault="00B50E1F" w:rsidP="007E729C">
            <w:pPr>
              <w:spacing w:line="276" w:lineRule="auto"/>
              <w:ind w:firstLine="284"/>
              <w:jc w:val="both"/>
              <w:rPr>
                <w:rFonts w:ascii="Arial" w:hAnsi="Arial" w:cs="Arial"/>
              </w:rPr>
            </w:pPr>
            <w:r>
              <w:rPr>
                <w:rFonts w:ascii="Arial" w:hAnsi="Arial" w:cs="Arial"/>
              </w:rPr>
              <w:t>4.2. Lançamento dos cabos nos eletrodutos, utilizando guia de passa-fios e lubrificante apropriado;</w:t>
            </w:r>
          </w:p>
          <w:p w14:paraId="17D25A48" w14:textId="18233932" w:rsidR="00B50E1F" w:rsidRDefault="00B50E1F" w:rsidP="007E729C">
            <w:pPr>
              <w:spacing w:line="276" w:lineRule="auto"/>
              <w:ind w:firstLine="284"/>
              <w:jc w:val="both"/>
              <w:rPr>
                <w:rFonts w:ascii="Arial" w:hAnsi="Arial" w:cs="Arial"/>
              </w:rPr>
            </w:pPr>
            <w:r>
              <w:rPr>
                <w:rFonts w:ascii="Arial" w:hAnsi="Arial" w:cs="Arial"/>
              </w:rPr>
              <w:t>4.3. Identificação e organização dos cabos nas extremidades</w:t>
            </w:r>
            <w:r w:rsidR="007E729C">
              <w:rPr>
                <w:rFonts w:ascii="Arial" w:hAnsi="Arial" w:cs="Arial"/>
              </w:rPr>
              <w:t>.</w:t>
            </w:r>
          </w:p>
          <w:p w14:paraId="74037187" w14:textId="123995B0" w:rsidR="00B50E1F" w:rsidRPr="007E729C" w:rsidRDefault="00B50E1F" w:rsidP="007E729C">
            <w:pPr>
              <w:spacing w:line="276" w:lineRule="auto"/>
              <w:jc w:val="both"/>
              <w:rPr>
                <w:rFonts w:ascii="Arial" w:hAnsi="Arial" w:cs="Arial"/>
                <w:b/>
                <w:bCs/>
              </w:rPr>
            </w:pPr>
            <w:r w:rsidRPr="007E729C">
              <w:rPr>
                <w:rFonts w:ascii="Arial" w:hAnsi="Arial" w:cs="Arial"/>
                <w:b/>
                <w:bCs/>
              </w:rPr>
              <w:t>5. Montagem dos Quadros de Distribuição:</w:t>
            </w:r>
          </w:p>
          <w:p w14:paraId="44ECBA6F" w14:textId="3DF04088" w:rsidR="00B50E1F" w:rsidRDefault="00B50E1F" w:rsidP="007E729C">
            <w:pPr>
              <w:spacing w:line="276" w:lineRule="auto"/>
              <w:ind w:firstLine="284"/>
              <w:jc w:val="both"/>
              <w:rPr>
                <w:rFonts w:ascii="Arial" w:hAnsi="Arial" w:cs="Arial"/>
              </w:rPr>
            </w:pPr>
            <w:r>
              <w:rPr>
                <w:rFonts w:ascii="Arial" w:hAnsi="Arial" w:cs="Arial"/>
              </w:rPr>
              <w:t>5.1. Fixação dos quadros de distribuição no local indicado;</w:t>
            </w:r>
          </w:p>
          <w:p w14:paraId="25235931" w14:textId="52A1E400" w:rsidR="00B50E1F" w:rsidRDefault="00B50E1F" w:rsidP="007E729C">
            <w:pPr>
              <w:spacing w:line="276" w:lineRule="auto"/>
              <w:ind w:firstLine="284"/>
              <w:jc w:val="both"/>
              <w:rPr>
                <w:rFonts w:ascii="Arial" w:hAnsi="Arial" w:cs="Arial"/>
              </w:rPr>
            </w:pPr>
            <w:r>
              <w:rPr>
                <w:rFonts w:ascii="Arial" w:hAnsi="Arial" w:cs="Arial"/>
              </w:rPr>
              <w:t>5.2. Instalação dos disjuntores, barramentos de fase, neutro e terra;</w:t>
            </w:r>
          </w:p>
          <w:p w14:paraId="5A301AC2" w14:textId="01D1A236" w:rsidR="00B50E1F" w:rsidRDefault="00B50E1F" w:rsidP="007E729C">
            <w:pPr>
              <w:spacing w:line="276" w:lineRule="auto"/>
              <w:ind w:firstLine="284"/>
              <w:jc w:val="both"/>
              <w:rPr>
                <w:rFonts w:ascii="Arial" w:hAnsi="Arial" w:cs="Arial"/>
              </w:rPr>
            </w:pPr>
            <w:r>
              <w:rPr>
                <w:rFonts w:ascii="Arial" w:hAnsi="Arial" w:cs="Arial"/>
              </w:rPr>
              <w:t>5.3. Interligação dos circuitos aos disjuntores conforme diagrama unifiliar</w:t>
            </w:r>
            <w:r w:rsidR="007E729C">
              <w:rPr>
                <w:rFonts w:ascii="Arial" w:hAnsi="Arial" w:cs="Arial"/>
              </w:rPr>
              <w:t>.</w:t>
            </w:r>
          </w:p>
          <w:p w14:paraId="1E159B8E" w14:textId="4E8DF3DF" w:rsidR="00B50E1F" w:rsidRPr="007E729C" w:rsidRDefault="00B50E1F" w:rsidP="007E729C">
            <w:pPr>
              <w:spacing w:line="276" w:lineRule="auto"/>
              <w:jc w:val="both"/>
              <w:rPr>
                <w:rFonts w:ascii="Arial" w:hAnsi="Arial" w:cs="Arial"/>
                <w:b/>
                <w:bCs/>
              </w:rPr>
            </w:pPr>
            <w:r w:rsidRPr="007E729C">
              <w:rPr>
                <w:rFonts w:ascii="Arial" w:hAnsi="Arial" w:cs="Arial"/>
                <w:b/>
                <w:bCs/>
              </w:rPr>
              <w:t>6. Instalação</w:t>
            </w:r>
            <w:r w:rsidR="007E729C" w:rsidRPr="007E729C">
              <w:rPr>
                <w:rFonts w:ascii="Arial" w:hAnsi="Arial" w:cs="Arial"/>
                <w:b/>
                <w:bCs/>
              </w:rPr>
              <w:t xml:space="preserve"> de Tomadas, Interruptores e Ponto de Iluminação:</w:t>
            </w:r>
          </w:p>
          <w:p w14:paraId="1F98BFC0" w14:textId="54A4496C" w:rsidR="007E729C" w:rsidRDefault="007E729C" w:rsidP="007E729C">
            <w:pPr>
              <w:spacing w:line="276" w:lineRule="auto"/>
              <w:ind w:firstLine="284"/>
              <w:jc w:val="both"/>
              <w:rPr>
                <w:rFonts w:ascii="Arial" w:hAnsi="Arial" w:cs="Arial"/>
              </w:rPr>
            </w:pPr>
            <w:r>
              <w:rPr>
                <w:rFonts w:ascii="Arial" w:hAnsi="Arial" w:cs="Arial"/>
              </w:rPr>
              <w:t>6.1. Fixação dos mecanismos nas caixas;</w:t>
            </w:r>
          </w:p>
          <w:p w14:paraId="7C1EA630" w14:textId="3798CEC8" w:rsidR="007E729C" w:rsidRDefault="007E729C" w:rsidP="007E729C">
            <w:pPr>
              <w:spacing w:line="276" w:lineRule="auto"/>
              <w:ind w:firstLine="284"/>
              <w:jc w:val="both"/>
              <w:rPr>
                <w:rFonts w:ascii="Arial" w:hAnsi="Arial" w:cs="Arial"/>
              </w:rPr>
            </w:pPr>
            <w:r>
              <w:rPr>
                <w:rFonts w:ascii="Arial" w:hAnsi="Arial" w:cs="Arial"/>
              </w:rPr>
              <w:t>6.2. Conexões conforme padrão, respeitando s condutores fase, neutro e terra;</w:t>
            </w:r>
          </w:p>
          <w:p w14:paraId="7CC4AEFF" w14:textId="3ACE7C9E" w:rsidR="007E729C" w:rsidRDefault="007E729C" w:rsidP="007E729C">
            <w:pPr>
              <w:spacing w:line="276" w:lineRule="auto"/>
              <w:ind w:firstLine="284"/>
              <w:jc w:val="both"/>
              <w:rPr>
                <w:rFonts w:ascii="Arial" w:hAnsi="Arial" w:cs="Arial"/>
              </w:rPr>
            </w:pPr>
            <w:r>
              <w:rPr>
                <w:rFonts w:ascii="Arial" w:hAnsi="Arial" w:cs="Arial"/>
              </w:rPr>
              <w:t>6.3. Instalação de luminárias e dispositivos de controle de iluminação.</w:t>
            </w:r>
          </w:p>
          <w:p w14:paraId="2419D7B3" w14:textId="685DBF4A" w:rsidR="007E729C" w:rsidRPr="007E729C" w:rsidRDefault="007E729C" w:rsidP="007E729C">
            <w:pPr>
              <w:spacing w:line="276" w:lineRule="auto"/>
              <w:jc w:val="both"/>
              <w:rPr>
                <w:rFonts w:ascii="Arial" w:hAnsi="Arial" w:cs="Arial"/>
                <w:b/>
                <w:bCs/>
              </w:rPr>
            </w:pPr>
            <w:r w:rsidRPr="007E729C">
              <w:rPr>
                <w:rFonts w:ascii="Arial" w:hAnsi="Arial" w:cs="Arial"/>
                <w:b/>
                <w:bCs/>
              </w:rPr>
              <w:t>7. Limpeza e Acabamento:</w:t>
            </w:r>
          </w:p>
          <w:p w14:paraId="2CA50903" w14:textId="1A5E76DA" w:rsidR="007E729C" w:rsidRDefault="007E729C" w:rsidP="007E729C">
            <w:pPr>
              <w:spacing w:line="276" w:lineRule="auto"/>
              <w:ind w:firstLine="284"/>
              <w:jc w:val="both"/>
              <w:rPr>
                <w:rFonts w:ascii="Arial" w:hAnsi="Arial" w:cs="Arial"/>
              </w:rPr>
            </w:pPr>
            <w:r>
              <w:rPr>
                <w:rFonts w:ascii="Arial" w:hAnsi="Arial" w:cs="Arial"/>
              </w:rPr>
              <w:t>7.1. Remoção de resíduos e limpeza dos pontos de instalação;</w:t>
            </w:r>
          </w:p>
          <w:p w14:paraId="32571EBA" w14:textId="6E4AD550" w:rsidR="007E729C" w:rsidRDefault="007E729C" w:rsidP="007E729C">
            <w:pPr>
              <w:spacing w:line="276" w:lineRule="auto"/>
              <w:ind w:firstLine="284"/>
              <w:jc w:val="both"/>
              <w:rPr>
                <w:rFonts w:ascii="Arial" w:hAnsi="Arial" w:cs="Arial"/>
              </w:rPr>
            </w:pPr>
            <w:r>
              <w:rPr>
                <w:rFonts w:ascii="Arial" w:hAnsi="Arial" w:cs="Arial"/>
              </w:rPr>
              <w:t>7.2. Revisão estética e técnica das instalações visíveis;</w:t>
            </w:r>
          </w:p>
          <w:p w14:paraId="65EF9D2B" w14:textId="3AA33D32" w:rsidR="00BD5000" w:rsidRPr="00247CD1" w:rsidRDefault="007E729C" w:rsidP="007E729C">
            <w:pPr>
              <w:spacing w:line="276" w:lineRule="auto"/>
              <w:ind w:firstLine="284"/>
              <w:jc w:val="both"/>
              <w:rPr>
                <w:rFonts w:ascii="Arial" w:hAnsi="Arial" w:cs="Arial"/>
              </w:rPr>
            </w:pPr>
            <w:r>
              <w:rPr>
                <w:rFonts w:ascii="Arial" w:hAnsi="Arial" w:cs="Arial"/>
              </w:rPr>
              <w:t>7.3. Entrega dos termos de garantia e manual de operação (quando aplicável).</w:t>
            </w:r>
          </w:p>
        </w:tc>
      </w:tr>
    </w:tbl>
    <w:p w14:paraId="3404D375"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3830FC3B" w14:textId="6B2585BC"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6. </w:t>
      </w:r>
      <w:r w:rsidR="00247CD1" w:rsidRPr="00247CD1">
        <w:rPr>
          <w:rFonts w:ascii="Arial" w:eastAsia="Times New Roman" w:hAnsi="Arial" w:cs="Arial"/>
          <w:b/>
          <w:sz w:val="24"/>
          <w:szCs w:val="24"/>
          <w:lang w:eastAsia="pt-BR"/>
        </w:rPr>
        <w:t>LEVANTAMENTO DE MERCADO</w:t>
      </w:r>
    </w:p>
    <w:p w14:paraId="4A493D46"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460380B3" w14:textId="453C6600" w:rsidR="00247CD1" w:rsidRDefault="008B14D7" w:rsidP="008B14D7">
      <w:pPr>
        <w:spacing w:after="0" w:line="360" w:lineRule="auto"/>
        <w:ind w:firstLine="851"/>
        <w:jc w:val="both"/>
        <w:rPr>
          <w:rFonts w:ascii="Arial" w:eastAsia="Times New Roman" w:hAnsi="Arial" w:cs="Arial"/>
          <w:sz w:val="24"/>
          <w:szCs w:val="24"/>
          <w:lang w:eastAsia="pt-BR"/>
        </w:rPr>
      </w:pPr>
      <w:r w:rsidRPr="008B14D7">
        <w:rPr>
          <w:rFonts w:ascii="Arial" w:eastAsia="Times New Roman" w:hAnsi="Arial" w:cs="Arial"/>
          <w:sz w:val="24"/>
          <w:szCs w:val="24"/>
          <w:lang w:eastAsia="pt-BR"/>
        </w:rPr>
        <w:t>O levantamento preliminar de mercado evidencia a existência de empresas de engenharia elétrica e instalações prediais com capacidade técnica para elaboração de projetos executivos e execução de obras elétricas em unidades públicas de pequeno e médio porte. Fornecedores do ramo dispõem de conhecimento sobre a aplicação das normas NBR 5410 (instalações de baixa tensão), NBR 5413 (iluminância), NBR 14039 (quando houver trechos em média tensão), além de procedimentos de NR-10 para segurança em instalações e serviços em eletricidade, o que permite avaliar o mercado como tecnicamente capaz de atender a demanda do Município</w:t>
      </w:r>
      <w:r w:rsidR="000A233A">
        <w:rPr>
          <w:rFonts w:ascii="Arial" w:eastAsia="Times New Roman" w:hAnsi="Arial" w:cs="Arial"/>
          <w:sz w:val="24"/>
          <w:szCs w:val="24"/>
          <w:lang w:eastAsia="pt-BR"/>
        </w:rPr>
        <w:t>.</w:t>
      </w:r>
    </w:p>
    <w:p w14:paraId="137B9803" w14:textId="0BA5EA2A" w:rsidR="008B14D7" w:rsidRDefault="008B14D7" w:rsidP="008B14D7">
      <w:pPr>
        <w:spacing w:after="0" w:line="360" w:lineRule="auto"/>
        <w:ind w:firstLine="851"/>
        <w:jc w:val="both"/>
        <w:rPr>
          <w:rFonts w:ascii="Arial" w:eastAsia="Times New Roman" w:hAnsi="Arial" w:cs="Arial"/>
          <w:sz w:val="24"/>
          <w:szCs w:val="24"/>
          <w:lang w:eastAsia="pt-BR"/>
        </w:rPr>
      </w:pPr>
      <w:r w:rsidRPr="008B14D7">
        <w:rPr>
          <w:rFonts w:ascii="Arial" w:eastAsia="Times New Roman" w:hAnsi="Arial" w:cs="Arial"/>
          <w:sz w:val="24"/>
          <w:szCs w:val="24"/>
          <w:lang w:eastAsia="pt-BR"/>
        </w:rPr>
        <w:t xml:space="preserve">A viabilidade da contratação também se revela pelo caráter padronizável das etapas do serviço (levantamento, projeto executivo, fornecimento de materiais padronizados, instalação, testes e entrega de documentação), o que facilita a especificação técnica em edital e a comparação de propostas. Para mitigar riscos de capacidade e cumprimento de prazos, </w:t>
      </w:r>
      <w:r w:rsidRPr="00F7633C">
        <w:rPr>
          <w:rFonts w:ascii="Arial" w:eastAsia="Times New Roman" w:hAnsi="Arial" w:cs="Arial"/>
          <w:color w:val="000000" w:themeColor="text1"/>
          <w:sz w:val="24"/>
          <w:szCs w:val="24"/>
          <w:lang w:eastAsia="pt-BR"/>
        </w:rPr>
        <w:t xml:space="preserve">recomenda-se exigir, no edital, evidências de qualificação técnica </w:t>
      </w:r>
      <w:r w:rsidRPr="00F7633C">
        <w:rPr>
          <w:rFonts w:ascii="Arial" w:eastAsia="Times New Roman" w:hAnsi="Arial" w:cs="Arial"/>
          <w:color w:val="000000" w:themeColor="text1"/>
          <w:sz w:val="24"/>
          <w:szCs w:val="24"/>
          <w:lang w:eastAsia="pt-BR"/>
        </w:rPr>
        <w:lastRenderedPageBreak/>
        <w:t>dos licitantes, como atestados de obras similares, comprovação de equipe técnica habilitada (responsável técnico com registro no CREA e ART), comprovação de capacidade operacional (frota e mão de obra) e prazos compatíveis</w:t>
      </w:r>
      <w:r w:rsidRPr="008B14D7">
        <w:rPr>
          <w:rFonts w:ascii="Arial" w:eastAsia="Times New Roman" w:hAnsi="Arial" w:cs="Arial"/>
          <w:sz w:val="24"/>
          <w:szCs w:val="24"/>
          <w:lang w:eastAsia="pt-BR"/>
        </w:rPr>
        <w:t>. Ainda, a divisão do escopo em fases (projeto executivo, fornecimento, instalação, comissionamento e entrega) e a exigência de documentação vinculante (memorial descritivo, cálculos, esquemas unifilares, planilha de cargas e layout dos quadros) aumentam a transparência e reduzem o risco de aditivos posteriores. Em resumo, o mercado técnico apresenta condições de atender o objeto; a contratação é economicamente viável desde que adotadas medidas de qualificação e de mitigação de riscos no edital e no contrato.</w:t>
      </w:r>
    </w:p>
    <w:p w14:paraId="3B3D3615" w14:textId="77777777" w:rsidR="008B14D7" w:rsidRPr="00247CD1" w:rsidRDefault="008B14D7" w:rsidP="00247CD1">
      <w:pPr>
        <w:spacing w:after="0" w:line="360" w:lineRule="auto"/>
        <w:jc w:val="both"/>
        <w:rPr>
          <w:rFonts w:ascii="Arial" w:eastAsia="Times New Roman" w:hAnsi="Arial" w:cs="Arial"/>
          <w:sz w:val="24"/>
          <w:szCs w:val="24"/>
          <w:lang w:eastAsia="pt-BR"/>
        </w:rPr>
      </w:pPr>
    </w:p>
    <w:p w14:paraId="0F6D344A" w14:textId="1C940CE6"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7. </w:t>
      </w:r>
      <w:r w:rsidR="00247CD1" w:rsidRPr="00247CD1">
        <w:rPr>
          <w:rFonts w:ascii="Arial" w:eastAsia="Times New Roman" w:hAnsi="Arial" w:cs="Arial"/>
          <w:b/>
          <w:sz w:val="24"/>
          <w:szCs w:val="24"/>
          <w:lang w:eastAsia="pt-BR"/>
        </w:rPr>
        <w:t>ESTIMATIVA DO VALOR DA CONTRATAÇÃO</w:t>
      </w:r>
    </w:p>
    <w:p w14:paraId="6B7BA584"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0189A05C" w14:textId="36D531F4" w:rsidR="00247CD1" w:rsidRPr="00247CD1" w:rsidRDefault="00152816" w:rsidP="00152816">
      <w:pPr>
        <w:spacing w:after="0" w:line="360" w:lineRule="auto"/>
        <w:ind w:firstLine="851"/>
        <w:jc w:val="both"/>
        <w:rPr>
          <w:rFonts w:ascii="Arial" w:eastAsia="Times New Roman" w:hAnsi="Arial" w:cs="Arial"/>
          <w:sz w:val="24"/>
          <w:szCs w:val="24"/>
          <w:lang w:eastAsia="pt-BR"/>
        </w:rPr>
      </w:pPr>
      <w:bookmarkStart w:id="0" w:name="_Hlk187740047"/>
      <w:r w:rsidRPr="00152816">
        <w:rPr>
          <w:rFonts w:ascii="Arial" w:eastAsia="Times New Roman" w:hAnsi="Arial" w:cs="Arial"/>
          <w:sz w:val="24"/>
          <w:szCs w:val="24"/>
          <w:lang w:eastAsia="pt-BR"/>
        </w:rPr>
        <w:t>A estimativa do valor total da contratação é de R$ 41.850,00 (Quarenta e um mil, oitocentos e cinquenta reais) e sua composição foi regularmente registrado na Planilha de Estimativa de Preço Médio constante em anexo, com a respectiva composição de custo dos itens descritos, respeitados os quantitativos estimados, sendo elaborado por meio d</w:t>
      </w:r>
      <w:bookmarkEnd w:id="0"/>
      <w:r w:rsidRPr="00152816">
        <w:rPr>
          <w:rFonts w:ascii="Arial" w:eastAsia="Times New Roman" w:hAnsi="Arial" w:cs="Arial"/>
          <w:sz w:val="24"/>
          <w:szCs w:val="24"/>
          <w:lang w:eastAsia="pt-BR"/>
        </w:rPr>
        <w:t>e pesquisa de preços com empresas locais</w:t>
      </w:r>
      <w:r w:rsidR="00247CD1" w:rsidRPr="00247CD1">
        <w:rPr>
          <w:rFonts w:ascii="Arial" w:eastAsia="Times New Roman" w:hAnsi="Arial" w:cs="Arial"/>
          <w:sz w:val="24"/>
          <w:szCs w:val="24"/>
          <w:lang w:eastAsia="pt-BR"/>
        </w:rPr>
        <w:t>, a qual integra o respectivo Termo de Referência (TR).</w:t>
      </w:r>
    </w:p>
    <w:p w14:paraId="17D99003"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10768B7A" w14:textId="1A245725"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8. </w:t>
      </w:r>
      <w:r w:rsidR="00247CD1" w:rsidRPr="00247CD1">
        <w:rPr>
          <w:rFonts w:ascii="Arial" w:eastAsia="Times New Roman" w:hAnsi="Arial" w:cs="Arial"/>
          <w:b/>
          <w:sz w:val="24"/>
          <w:szCs w:val="24"/>
          <w:lang w:eastAsia="pt-BR"/>
        </w:rPr>
        <w:t>DESCRIÇÃO DA SOLUÇÃO COMO UM TODO</w:t>
      </w:r>
    </w:p>
    <w:p w14:paraId="2ED171C5"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5FF38A79" w14:textId="499C73FC" w:rsidR="008B14D7" w:rsidRPr="008B14D7" w:rsidRDefault="008B14D7" w:rsidP="008B14D7">
      <w:pPr>
        <w:spacing w:after="0" w:line="360" w:lineRule="auto"/>
        <w:ind w:firstLine="851"/>
        <w:jc w:val="both"/>
        <w:rPr>
          <w:rFonts w:ascii="Arial" w:eastAsia="Times New Roman" w:hAnsi="Arial" w:cs="Arial"/>
          <w:sz w:val="24"/>
          <w:szCs w:val="24"/>
          <w:lang w:eastAsia="pt-BR"/>
        </w:rPr>
      </w:pPr>
      <w:r w:rsidRPr="008B14D7">
        <w:rPr>
          <w:rFonts w:ascii="Arial" w:eastAsia="Times New Roman" w:hAnsi="Arial" w:cs="Arial"/>
          <w:sz w:val="24"/>
          <w:szCs w:val="24"/>
          <w:lang w:eastAsia="pt-BR"/>
        </w:rPr>
        <w:t>A solução proposta compreende a contratação integrada de serviços técnicos especializados em engenharia elétrica que contemplem a elaboração do projeto executivo, a execução da infraestrutura elétrica e o comissionamento final da instalação, incluindo documentação técnica completa e garantia dos serviços. Inicialmente, será realizada a vistoria e levantamento de campo detalhado para verificação das condições existentes, medições e conferência dimensional, de modo a subsidiar o projeto executivo. Após a aprovação do escopo e da arte do projeto, a contratada elaborará o projeto executivo em conformidade com as normas aplicáveis, contendo memorial descritivo, cálculo de demanda e cargas, dimensionamento de condutores e dispositivos de proteção, esquemas unifilares, detalhamento dos quadros de distribuição, especificação de eletrodutos, caixas e materiais, definição do sistema de aterramento e equipotencialização, projeto de iluminação (com níveis de iluminância compatíveis à atividade, conforme NBR 5413), além de previsão de circuitos dedicados para equipamentos críticos.</w:t>
      </w:r>
    </w:p>
    <w:p w14:paraId="299997D5" w14:textId="06271583" w:rsidR="008B14D7" w:rsidRPr="008B14D7" w:rsidRDefault="008B14D7" w:rsidP="008B14D7">
      <w:pPr>
        <w:spacing w:after="0" w:line="360" w:lineRule="auto"/>
        <w:ind w:firstLine="851"/>
        <w:jc w:val="both"/>
        <w:rPr>
          <w:rFonts w:ascii="Arial" w:eastAsia="Times New Roman" w:hAnsi="Arial" w:cs="Arial"/>
          <w:sz w:val="24"/>
          <w:szCs w:val="24"/>
          <w:lang w:eastAsia="pt-BR"/>
        </w:rPr>
      </w:pPr>
      <w:r w:rsidRPr="008B14D7">
        <w:rPr>
          <w:rFonts w:ascii="Arial" w:eastAsia="Times New Roman" w:hAnsi="Arial" w:cs="Arial"/>
          <w:sz w:val="24"/>
          <w:szCs w:val="24"/>
          <w:lang w:eastAsia="pt-BR"/>
        </w:rPr>
        <w:lastRenderedPageBreak/>
        <w:t xml:space="preserve">Com projeto aprovado, seguirá a fase de execução, que compreenderá a instalação de eletrodutos e eletrocalhas, o lançamento e identificação de cabos, a montagem e cabeamento dos quadros de distribuição, a instalação de dispositivos de proteção (disjuntores, DPS quando aplicáveis, dispositivos DR), a instalação de tomadas e pontos de iluminação, a implementação do sistema de aterramento com medição e registro da resistência obtida, e a execução de todos os serviços complementares necessários para entrega pronta para uso. Também serão previstos circuitos e soluções para proteção contra </w:t>
      </w:r>
      <w:r w:rsidR="000A233A">
        <w:rPr>
          <w:rFonts w:ascii="Arial" w:eastAsia="Times New Roman" w:hAnsi="Arial" w:cs="Arial"/>
          <w:sz w:val="24"/>
          <w:szCs w:val="24"/>
          <w:lang w:eastAsia="pt-BR"/>
        </w:rPr>
        <w:t>c</w:t>
      </w:r>
      <w:r w:rsidRPr="008B14D7">
        <w:rPr>
          <w:rFonts w:ascii="Arial" w:eastAsia="Times New Roman" w:hAnsi="Arial" w:cs="Arial"/>
          <w:sz w:val="24"/>
          <w:szCs w:val="24"/>
          <w:lang w:eastAsia="pt-BR"/>
        </w:rPr>
        <w:t>urtos, para qualidade de energia e para eventual necessidade de continuidade (no caso de equipamentos críticos, provisionamento de alimentação dedicada ou estudos de redundância). Durante e ao final da execução, deverão ser realizados ensaios e testes, tais como medição de resistência de isolação, verificação de continuidade dos condutores, ensaio do sistema de aterramento, ensaios funcionais dos dispositivos de proteção e testes de iluminação e circuitos, com a emissão de relatórios técnicos assinados pelo responsável técnico. A entrega final contemplará o fornecimento de documentação completa: projeto executivo aprovado, as-built (desenhos “como construído”), memórias de cálculo, planilhas de cargas, lista de materiais com especificações, laudos e relatórios de ensaio, ARTs correspondentes, manuais de operação e manutenção e termo de garantia.</w:t>
      </w:r>
    </w:p>
    <w:p w14:paraId="7205BB38" w14:textId="04629056" w:rsidR="00247CD1" w:rsidRDefault="008B14D7" w:rsidP="008B14D7">
      <w:pPr>
        <w:spacing w:after="0" w:line="360" w:lineRule="auto"/>
        <w:ind w:firstLine="851"/>
        <w:jc w:val="both"/>
        <w:rPr>
          <w:rFonts w:ascii="Arial" w:eastAsia="Times New Roman" w:hAnsi="Arial" w:cs="Arial"/>
          <w:sz w:val="24"/>
          <w:szCs w:val="24"/>
          <w:lang w:eastAsia="pt-BR"/>
        </w:rPr>
      </w:pPr>
      <w:r w:rsidRPr="008B14D7">
        <w:rPr>
          <w:rFonts w:ascii="Arial" w:eastAsia="Times New Roman" w:hAnsi="Arial" w:cs="Arial"/>
          <w:sz w:val="24"/>
          <w:szCs w:val="24"/>
          <w:lang w:eastAsia="pt-BR"/>
        </w:rPr>
        <w:t>Além disso, a solução inclui a capacitação técnica básica da equipe de manutenção do Município para operação e manutenção preventiva, o estabelecimento de plano mínimo de manutenção preventiva e a garantia contratual sobre os serviços prestados por período a ser estabelecido no contrato. Para assegurar qualidade e conformidade, a execução deverá observar procedimentos de controle de qualidade, uso de materiais com certificação e origem comprovada, e cumprimento das normas de segurança do trabalho (NR-10) durante todas as atividades. Em suma, a solução é completa e integrada, cobrindo projeto, execução, testes, documentação e garantia, de modo a entregar uma instalação elétrica segura, funcional e documentada para uso imediato pela Vigilância Sanitária.</w:t>
      </w:r>
    </w:p>
    <w:p w14:paraId="13FE17F7" w14:textId="77777777" w:rsidR="008B14D7" w:rsidRPr="00247CD1" w:rsidRDefault="008B14D7" w:rsidP="00247CD1">
      <w:pPr>
        <w:spacing w:after="0" w:line="360" w:lineRule="auto"/>
        <w:jc w:val="both"/>
        <w:rPr>
          <w:rFonts w:ascii="Arial" w:eastAsia="Times New Roman" w:hAnsi="Arial" w:cs="Arial"/>
          <w:sz w:val="24"/>
          <w:szCs w:val="24"/>
          <w:lang w:eastAsia="pt-BR"/>
        </w:rPr>
      </w:pPr>
    </w:p>
    <w:p w14:paraId="60EC4126" w14:textId="5F0A3941"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9. </w:t>
      </w:r>
      <w:r w:rsidR="00247CD1" w:rsidRPr="00247CD1">
        <w:rPr>
          <w:rFonts w:ascii="Arial" w:eastAsia="Times New Roman" w:hAnsi="Arial" w:cs="Arial"/>
          <w:b/>
          <w:sz w:val="24"/>
          <w:szCs w:val="24"/>
          <w:lang w:eastAsia="pt-BR"/>
        </w:rPr>
        <w:t>JUSTIFICATIVAS PARA O PARCELAMENTO OU NÃO DA SOLUÇÃO</w:t>
      </w:r>
    </w:p>
    <w:p w14:paraId="628C4351"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0FE75FC5" w14:textId="30255F60" w:rsidR="00247CD1" w:rsidRP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 xml:space="preserve">O objeto a ser </w:t>
      </w:r>
      <w:r w:rsidR="008B14D7">
        <w:rPr>
          <w:rFonts w:ascii="Arial" w:eastAsia="Times New Roman" w:hAnsi="Arial" w:cs="Arial"/>
          <w:sz w:val="24"/>
          <w:szCs w:val="24"/>
          <w:lang w:eastAsia="pt-BR"/>
        </w:rPr>
        <w:t>contratado</w:t>
      </w:r>
      <w:r w:rsidRPr="00247CD1">
        <w:rPr>
          <w:rFonts w:ascii="Arial" w:eastAsia="Times New Roman" w:hAnsi="Arial" w:cs="Arial"/>
          <w:sz w:val="24"/>
          <w:szCs w:val="24"/>
          <w:lang w:eastAsia="pt-BR"/>
        </w:rPr>
        <w:t xml:space="preserve"> possui como característica e natureza a indivisibilidade, ou seja, eventual parcelamento do objeto causará prejuízos na utilização do bem adquirido, acarretando na ineficiência das atividades administrativas. Por tal razão sugere-se o não parcelamento do objeto.</w:t>
      </w:r>
    </w:p>
    <w:p w14:paraId="3A51CC74"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6F1D4758" w14:textId="7EFA4F60"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10. </w:t>
      </w:r>
      <w:r w:rsidR="00247CD1" w:rsidRPr="00247CD1">
        <w:rPr>
          <w:rFonts w:ascii="Arial" w:eastAsia="Times New Roman" w:hAnsi="Arial" w:cs="Arial"/>
          <w:b/>
          <w:sz w:val="24"/>
          <w:szCs w:val="24"/>
          <w:lang w:eastAsia="pt-BR"/>
        </w:rPr>
        <w:t>DOS RESULTADOS PRETENDIDOS</w:t>
      </w:r>
    </w:p>
    <w:p w14:paraId="5146E691"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64243305" w14:textId="0D10012E" w:rsidR="008B14D7" w:rsidRPr="00E9351B" w:rsidRDefault="00247CD1" w:rsidP="008B14D7">
      <w:pPr>
        <w:spacing w:after="0" w:line="360" w:lineRule="auto"/>
        <w:ind w:firstLine="851"/>
        <w:jc w:val="both"/>
        <w:rPr>
          <w:rFonts w:ascii="Arial" w:hAnsi="Arial" w:cs="Arial"/>
          <w:sz w:val="24"/>
          <w:szCs w:val="24"/>
        </w:rPr>
      </w:pPr>
      <w:r w:rsidRPr="00247CD1">
        <w:rPr>
          <w:rFonts w:ascii="Arial" w:eastAsia="Times New Roman" w:hAnsi="Arial" w:cs="Arial"/>
          <w:sz w:val="24"/>
          <w:szCs w:val="24"/>
          <w:lang w:eastAsia="pt-BR"/>
        </w:rPr>
        <w:t>Sem prejuízo dos elementos e requisitos indispensáveis da aquisição dos itens já expostos, pretende-se</w:t>
      </w:r>
      <w:r w:rsidR="008B14D7" w:rsidRPr="00E9351B">
        <w:rPr>
          <w:rFonts w:ascii="Arial" w:hAnsi="Arial" w:cs="Arial"/>
          <w:sz w:val="24"/>
          <w:szCs w:val="24"/>
        </w:rPr>
        <w:t xml:space="preserve"> a execução do projeto elétrico e a implantação das instalações previstas, pretende-se alcançar resultados técnicos, operacionais e institucionais que assegurem a plena funcionalidade e a segurança da sede da Vigilância </w:t>
      </w:r>
      <w:r w:rsidR="000A233A">
        <w:rPr>
          <w:rFonts w:ascii="Arial" w:hAnsi="Arial" w:cs="Arial"/>
          <w:sz w:val="24"/>
          <w:szCs w:val="24"/>
        </w:rPr>
        <w:t>da Saúde</w:t>
      </w:r>
      <w:r w:rsidR="008B14D7" w:rsidRPr="00E9351B">
        <w:rPr>
          <w:rFonts w:ascii="Arial" w:hAnsi="Arial" w:cs="Arial"/>
          <w:sz w:val="24"/>
          <w:szCs w:val="24"/>
        </w:rPr>
        <w:t>. Em primeiro lugar, espera-se assegurar a conformidade das instalações com as normas técnicas aplicáveis, traduzida em documentação aprovada e em obras executadas segundo projeto executivo, com desenhos unifilares, dimensionamento de condutores, dispositivos de proteção, esquemas de aterramento e detalhamento de pontos de iluminação e tomadas. Estes entregáveis permitirão a legalização técnica das instalações e a existência de registro técnico (ART) que responda pela responsabilidade profissional da execução.</w:t>
      </w:r>
    </w:p>
    <w:p w14:paraId="5BC6357C" w14:textId="0EEAE8F6" w:rsidR="008B14D7" w:rsidRPr="00E9351B" w:rsidRDefault="008B14D7" w:rsidP="008B14D7">
      <w:pPr>
        <w:spacing w:after="0" w:line="360" w:lineRule="auto"/>
        <w:ind w:firstLine="851"/>
        <w:jc w:val="both"/>
        <w:rPr>
          <w:rFonts w:ascii="Arial" w:hAnsi="Arial" w:cs="Arial"/>
          <w:sz w:val="24"/>
          <w:szCs w:val="24"/>
        </w:rPr>
      </w:pPr>
      <w:r w:rsidRPr="00E9351B">
        <w:rPr>
          <w:rFonts w:ascii="Arial" w:hAnsi="Arial" w:cs="Arial"/>
          <w:sz w:val="24"/>
          <w:szCs w:val="24"/>
        </w:rPr>
        <w:t xml:space="preserve">Do ponto de vista de segurança e operação, o objetivo é eliminar não conformidades elétricas, reduzir significativamente o risco de choques elétricos e incêndios elétricos, e prover proteção adequada aos usuários e aos equipamentos. Isso inclui a implementação de sistemas de proteção diferencial residual quando exigidos, dispositivos de máxima corrente e coordenação de proteção para evitar disparos indevidos e permitir manutenção segura, além do estabelecimento de sistema de aterramento e equipotencialização com resistência dentro dos parâmetros normativos. Como consequência direta, espera-se redução das ocorrências de falhas elétricas e de paradas não planejadas, com impacto positivo na continuidade das atividades da Vigilância </w:t>
      </w:r>
      <w:r w:rsidR="00B65D4D">
        <w:rPr>
          <w:rFonts w:ascii="Arial" w:hAnsi="Arial" w:cs="Arial"/>
          <w:sz w:val="24"/>
          <w:szCs w:val="24"/>
        </w:rPr>
        <w:t>da Saúde</w:t>
      </w:r>
      <w:r w:rsidRPr="00E9351B">
        <w:rPr>
          <w:rFonts w:ascii="Arial" w:hAnsi="Arial" w:cs="Arial"/>
          <w:sz w:val="24"/>
          <w:szCs w:val="24"/>
        </w:rPr>
        <w:t>.</w:t>
      </w:r>
    </w:p>
    <w:p w14:paraId="104F3663" w14:textId="79BC75B3" w:rsidR="008B14D7" w:rsidRPr="00E9351B" w:rsidRDefault="008B14D7" w:rsidP="008B14D7">
      <w:pPr>
        <w:spacing w:after="0" w:line="360" w:lineRule="auto"/>
        <w:ind w:firstLine="851"/>
        <w:jc w:val="both"/>
        <w:rPr>
          <w:rFonts w:ascii="Arial" w:hAnsi="Arial" w:cs="Arial"/>
          <w:sz w:val="24"/>
          <w:szCs w:val="24"/>
        </w:rPr>
      </w:pPr>
      <w:r w:rsidRPr="00E9351B">
        <w:rPr>
          <w:rFonts w:ascii="Arial" w:hAnsi="Arial" w:cs="Arial"/>
          <w:sz w:val="24"/>
          <w:szCs w:val="24"/>
        </w:rPr>
        <w:t>No campo da governança e da manutenção, o Município deverá ficar provido de documentação técnica completa (memorial descritivo, esquemas, planilhas e lista de materiais, ART, prontuário técnico), manuais de operação e garantia, bem como procedimentos mínimos de inspeção e manutenção preventiva. Isso permitirá que</w:t>
      </w:r>
      <w:r w:rsidR="00B65D4D">
        <w:rPr>
          <w:rFonts w:ascii="Arial" w:hAnsi="Arial" w:cs="Arial"/>
          <w:sz w:val="24"/>
          <w:szCs w:val="24"/>
        </w:rPr>
        <w:t xml:space="preserve"> o Departamento de Saúde e o Departamento de Obras e Engenharia</w:t>
      </w:r>
      <w:r w:rsidRPr="00E9351B">
        <w:rPr>
          <w:rFonts w:ascii="Arial" w:hAnsi="Arial" w:cs="Arial"/>
          <w:sz w:val="24"/>
          <w:szCs w:val="24"/>
        </w:rPr>
        <w:t xml:space="preserve"> execute o acompanhamento técnico e a manutenção periódica com base em parâmetros objetivos. Em termos de indicadores, os resultados pretendidos incluem: aceitação técnica do serviço (100% dos itens entregues conforme projeto e assinalados no termo de recebimento), eliminação de não conformidades críticas detectadas em inspeção final (meta 0), redução de ocorrências elétricas emergenciais no prazo de 12 meses após entrega (meta reduzida </w:t>
      </w:r>
      <w:r w:rsidRPr="00E9351B">
        <w:rPr>
          <w:rFonts w:ascii="Arial" w:hAnsi="Arial" w:cs="Arial"/>
          <w:sz w:val="24"/>
          <w:szCs w:val="24"/>
        </w:rPr>
        <w:lastRenderedPageBreak/>
        <w:t>em relação ao histórico), e garantia de atendimento técnico por parte do executor nos prazos contratuais para eventuais correções.</w:t>
      </w:r>
    </w:p>
    <w:p w14:paraId="44103D9D" w14:textId="5518CAD4" w:rsidR="008B14D7" w:rsidRDefault="008B14D7" w:rsidP="008B14D7">
      <w:pPr>
        <w:spacing w:after="0" w:line="360" w:lineRule="auto"/>
        <w:ind w:firstLine="851"/>
        <w:jc w:val="both"/>
        <w:rPr>
          <w:rFonts w:ascii="Arial" w:eastAsia="Times New Roman" w:hAnsi="Arial" w:cs="Arial"/>
          <w:sz w:val="24"/>
          <w:szCs w:val="24"/>
          <w:lang w:eastAsia="pt-BR"/>
        </w:rPr>
      </w:pPr>
      <w:r w:rsidRPr="00E9351B">
        <w:rPr>
          <w:rFonts w:ascii="Arial" w:hAnsi="Arial" w:cs="Arial"/>
          <w:sz w:val="24"/>
          <w:szCs w:val="24"/>
        </w:rPr>
        <w:t xml:space="preserve">Por fim, espera-se que a ação produza ganhos indiretos relevantes: proteção do patrimônio público (equipamentos e infraestrutura da Vigilância), aumento da segurança para servidores e usuários, cumprimento de requisitos legais e normativos, melhoria da imagem institucional do Município e maior previsibilidade orçamentária em função da redução de manutenções emergenciais. Esses resultados consolidam a contratação como investimento necessário para a sustentabilidade operacional da Vigilância </w:t>
      </w:r>
      <w:r w:rsidR="00B65D4D">
        <w:rPr>
          <w:rFonts w:ascii="Arial" w:hAnsi="Arial" w:cs="Arial"/>
          <w:sz w:val="24"/>
          <w:szCs w:val="24"/>
        </w:rPr>
        <w:t>da Saúde</w:t>
      </w:r>
      <w:r w:rsidRPr="00E9351B">
        <w:rPr>
          <w:rFonts w:ascii="Arial" w:hAnsi="Arial" w:cs="Arial"/>
          <w:sz w:val="24"/>
          <w:szCs w:val="24"/>
        </w:rPr>
        <w:t xml:space="preserve"> e para a proteção da saúde pública local.</w:t>
      </w:r>
    </w:p>
    <w:p w14:paraId="28081C39" w14:textId="4D9691BF" w:rsidR="00247CD1" w:rsidRPr="00247CD1" w:rsidRDefault="008B14D7" w:rsidP="008B14D7">
      <w:pPr>
        <w:spacing w:after="0" w:line="360" w:lineRule="auto"/>
        <w:ind w:firstLine="851"/>
        <w:jc w:val="both"/>
        <w:rPr>
          <w:rFonts w:ascii="Arial" w:eastAsia="Times New Roman" w:hAnsi="Arial" w:cs="Arial"/>
          <w:sz w:val="24"/>
          <w:szCs w:val="24"/>
          <w:lang w:eastAsia="pt-BR"/>
        </w:rPr>
      </w:pPr>
      <w:r>
        <w:rPr>
          <w:rFonts w:ascii="Arial" w:eastAsia="Times New Roman" w:hAnsi="Arial" w:cs="Arial"/>
          <w:sz w:val="24"/>
          <w:szCs w:val="24"/>
          <w:lang w:eastAsia="pt-BR"/>
        </w:rPr>
        <w:t>P</w:t>
      </w:r>
      <w:r w:rsidR="00247CD1" w:rsidRPr="00247CD1">
        <w:rPr>
          <w:rFonts w:ascii="Arial" w:eastAsia="Times New Roman" w:hAnsi="Arial" w:cs="Arial"/>
          <w:sz w:val="24"/>
          <w:szCs w:val="24"/>
          <w:lang w:eastAsia="pt-BR"/>
        </w:rPr>
        <w:t>retende-se também a continuidade dos serviços públicos, exigindo-se dos fornecedores contratados o atendimento dos requisitos básicos de economicidade, eficácia, eficiência e melhor aproveitamento dos recursos financeiros e materiais da administração Pública.</w:t>
      </w:r>
    </w:p>
    <w:p w14:paraId="5A2F7E7D"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6B145BB2" w14:textId="3FC681EA"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11. </w:t>
      </w:r>
      <w:r w:rsidR="00247CD1" w:rsidRPr="00247CD1">
        <w:rPr>
          <w:rFonts w:ascii="Arial" w:eastAsia="Times New Roman" w:hAnsi="Arial" w:cs="Arial"/>
          <w:b/>
          <w:sz w:val="24"/>
          <w:szCs w:val="24"/>
          <w:lang w:eastAsia="pt-BR"/>
        </w:rPr>
        <w:t>PROVIDÊNCIAS A SEREM ADOTADAS PELA ADMINISTRAÇÃO</w:t>
      </w:r>
    </w:p>
    <w:p w14:paraId="070EB726"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5A94ED77" w14:textId="77777777" w:rsidR="00247CD1" w:rsidRP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A presente contratação requer por parte da administração pública o acompanhamento de profissional qualificado para analisar, julgar e receber os materiais solicitados, de forma a verificar que todas as especificações técnicas e exigências solicitadas foram cumpridas.</w:t>
      </w:r>
    </w:p>
    <w:p w14:paraId="6C6E9A29"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6A1D00B1" w14:textId="5A927E52"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12. </w:t>
      </w:r>
      <w:r w:rsidR="00247CD1" w:rsidRPr="00247CD1">
        <w:rPr>
          <w:rFonts w:ascii="Arial" w:eastAsia="Times New Roman" w:hAnsi="Arial" w:cs="Arial"/>
          <w:b/>
          <w:sz w:val="24"/>
          <w:szCs w:val="24"/>
          <w:lang w:eastAsia="pt-BR"/>
        </w:rPr>
        <w:t>CONTRATAÇÕES CORRELATAS OU INTERDEPENDENTES</w:t>
      </w:r>
    </w:p>
    <w:p w14:paraId="75B0726B"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0D227733" w14:textId="27B9DCAA" w:rsidR="00247CD1" w:rsidRP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 xml:space="preserve">Diante do levantamento das necessidades da contratação acompanhada dos demais elementos que consolidam o presente estudo técnico preliminar, analisando a solução como um todo e o ciclo de vida do objeto, não se faz necessária demais </w:t>
      </w:r>
      <w:r w:rsidR="00042EDE" w:rsidRPr="00247CD1">
        <w:rPr>
          <w:rFonts w:ascii="Arial" w:eastAsia="Times New Roman" w:hAnsi="Arial" w:cs="Arial"/>
          <w:sz w:val="24"/>
          <w:szCs w:val="24"/>
          <w:lang w:eastAsia="pt-BR"/>
        </w:rPr>
        <w:t>contratações correlatas</w:t>
      </w:r>
      <w:r w:rsidR="008B14D7">
        <w:rPr>
          <w:rFonts w:ascii="Arial" w:eastAsia="Times New Roman" w:hAnsi="Arial" w:cs="Arial"/>
          <w:sz w:val="24"/>
          <w:szCs w:val="24"/>
          <w:lang w:eastAsia="pt-BR"/>
        </w:rPr>
        <w:t xml:space="preserve"> ou </w:t>
      </w:r>
      <w:r w:rsidRPr="00247CD1">
        <w:rPr>
          <w:rFonts w:ascii="Arial" w:eastAsia="Times New Roman" w:hAnsi="Arial" w:cs="Arial"/>
          <w:sz w:val="24"/>
          <w:szCs w:val="24"/>
          <w:lang w:eastAsia="pt-BR"/>
        </w:rPr>
        <w:t xml:space="preserve">interdependentes para a viabilidade da contratação pretendida. </w:t>
      </w:r>
    </w:p>
    <w:p w14:paraId="7E438A9C"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00296D86" w14:textId="4D3DBEC0"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13. </w:t>
      </w:r>
      <w:r w:rsidR="00247CD1" w:rsidRPr="00247CD1">
        <w:rPr>
          <w:rFonts w:ascii="Arial" w:eastAsia="Times New Roman" w:hAnsi="Arial" w:cs="Arial"/>
          <w:b/>
          <w:sz w:val="24"/>
          <w:szCs w:val="24"/>
          <w:lang w:eastAsia="pt-BR"/>
        </w:rPr>
        <w:t>POSSÍVEIS IMPACTOS AMBIENTAIS</w:t>
      </w:r>
    </w:p>
    <w:p w14:paraId="505B620E"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5CCD8BA7" w14:textId="77777777" w:rsidR="00247CD1" w:rsidRP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 xml:space="preserve">Com o objetivo de atender a preceitos legais e constitucionais que exige do Poder Público, a partir de competência concorrente entre a União, Estados, Municípios e Distrito Federal a proteção, manutenção e preservação do meio ambiente, com o combate à poluição em qualquer de suas formas, a presente contratação deve manter critérios de </w:t>
      </w:r>
      <w:r w:rsidRPr="00247CD1">
        <w:rPr>
          <w:rFonts w:ascii="Arial" w:eastAsia="Times New Roman" w:hAnsi="Arial" w:cs="Arial"/>
          <w:sz w:val="24"/>
          <w:szCs w:val="24"/>
          <w:lang w:eastAsia="pt-BR"/>
        </w:rPr>
        <w:lastRenderedPageBreak/>
        <w:t>sustentabilidade nas aquisições e contratações, sendo dever do contratado a atuação na execução e prestação de serviços públicos de acordo com boas práticas de sustentabilidade.</w:t>
      </w:r>
    </w:p>
    <w:p w14:paraId="5473625A" w14:textId="77777777" w:rsidR="00247CD1" w:rsidRP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No entanto, apesar do dever intrínseco imposto aos fornecedores de serviços, bens e produtos à Administração Pública, a presente contratação não vislumbra possíveis impactos ambientais.</w:t>
      </w:r>
    </w:p>
    <w:p w14:paraId="69910AFB"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7C5F3BC9" w14:textId="1FC1973D"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14. </w:t>
      </w:r>
      <w:r w:rsidR="00247CD1" w:rsidRPr="00247CD1">
        <w:rPr>
          <w:rFonts w:ascii="Arial" w:eastAsia="Times New Roman" w:hAnsi="Arial" w:cs="Arial"/>
          <w:b/>
          <w:sz w:val="24"/>
          <w:szCs w:val="24"/>
          <w:lang w:eastAsia="pt-BR"/>
        </w:rPr>
        <w:t>POSICIONAMENTO CONCLUSIVO</w:t>
      </w:r>
    </w:p>
    <w:p w14:paraId="6C8590D8"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5B128E00" w14:textId="7B80F361" w:rsidR="00247CD1" w:rsidRP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 xml:space="preserve">Após percorrer pelos elementos obrigatórios do Estudo Técnico Preliminar, atendendo o Decreto Municipal nº 007/24 que regulamenta o artigo 18 § 1º da Lei 14.133/2021, o setor requisitante, por meio de agente competente para a realização do planejamento das contratações públicas </w:t>
      </w:r>
      <w:r w:rsidRPr="008B14D7">
        <w:rPr>
          <w:rFonts w:ascii="Arial" w:eastAsia="Times New Roman" w:hAnsi="Arial" w:cs="Arial"/>
          <w:color w:val="000000" w:themeColor="text1"/>
          <w:sz w:val="24"/>
          <w:szCs w:val="24"/>
          <w:lang w:eastAsia="pt-BR"/>
        </w:rPr>
        <w:t>no Departamento de</w:t>
      </w:r>
      <w:r w:rsidR="008B14D7" w:rsidRPr="008B14D7">
        <w:rPr>
          <w:rFonts w:ascii="Arial" w:eastAsia="Times New Roman" w:hAnsi="Arial" w:cs="Arial"/>
          <w:color w:val="000000" w:themeColor="text1"/>
          <w:sz w:val="24"/>
          <w:szCs w:val="24"/>
          <w:lang w:eastAsia="pt-BR"/>
        </w:rPr>
        <w:t xml:space="preserve"> Saúde</w:t>
      </w:r>
      <w:r w:rsidRPr="00247CD1">
        <w:rPr>
          <w:rFonts w:ascii="Arial" w:eastAsia="Times New Roman" w:hAnsi="Arial" w:cs="Arial"/>
          <w:sz w:val="24"/>
          <w:szCs w:val="24"/>
          <w:lang w:eastAsia="pt-BR"/>
        </w:rPr>
        <w:t>, consoante o inciso XIII, art. 8º do decreto municipal mencionado, assim com base neste Estudo Técnico Preliminar, assim se manifesta sobre a contratação em análise:</w:t>
      </w:r>
    </w:p>
    <w:p w14:paraId="03BF6030" w14:textId="09968B92" w:rsidR="00247CD1" w:rsidRDefault="00247CD1" w:rsidP="00927EEC">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Declaro que é Viável a presente contratação.</w:t>
      </w:r>
    </w:p>
    <w:p w14:paraId="79ED7B73" w14:textId="77777777" w:rsidR="00927EEC" w:rsidRPr="00927EEC" w:rsidRDefault="00927EEC" w:rsidP="00927EEC">
      <w:pPr>
        <w:spacing w:after="0" w:line="360" w:lineRule="auto"/>
        <w:jc w:val="both"/>
        <w:rPr>
          <w:rFonts w:ascii="Arial" w:eastAsia="Times New Roman" w:hAnsi="Arial" w:cs="Arial"/>
          <w:sz w:val="24"/>
          <w:szCs w:val="24"/>
          <w:lang w:eastAsia="pt-BR"/>
        </w:rPr>
      </w:pPr>
    </w:p>
    <w:p w14:paraId="5FD9BDAE"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3F4EB329"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493C001D" w14:textId="4D0AAEA2" w:rsidR="00247CD1" w:rsidRPr="00247CD1" w:rsidRDefault="00247CD1" w:rsidP="00247CD1">
      <w:pPr>
        <w:spacing w:after="0" w:line="360" w:lineRule="auto"/>
        <w:jc w:val="right"/>
        <w:rPr>
          <w:rFonts w:ascii="Arial" w:eastAsia="Times New Roman" w:hAnsi="Arial" w:cs="Arial"/>
          <w:sz w:val="24"/>
          <w:szCs w:val="24"/>
          <w:lang w:eastAsia="pt-BR"/>
        </w:rPr>
      </w:pPr>
      <w:r w:rsidRPr="00247CD1">
        <w:rPr>
          <w:rFonts w:ascii="Arial" w:eastAsia="Times New Roman" w:hAnsi="Arial" w:cs="Arial"/>
          <w:sz w:val="24"/>
          <w:szCs w:val="24"/>
          <w:lang w:eastAsia="pt-BR"/>
        </w:rPr>
        <w:t xml:space="preserve">Ibirarema, </w:t>
      </w:r>
      <w:r w:rsidR="00AC3AB4">
        <w:rPr>
          <w:rFonts w:ascii="Arial" w:eastAsia="Times New Roman" w:hAnsi="Arial" w:cs="Arial"/>
          <w:sz w:val="24"/>
          <w:szCs w:val="24"/>
          <w:lang w:eastAsia="pt-BR"/>
        </w:rPr>
        <w:t>18</w:t>
      </w:r>
      <w:r w:rsidRPr="00247CD1">
        <w:rPr>
          <w:rFonts w:ascii="Arial" w:eastAsia="Times New Roman" w:hAnsi="Arial" w:cs="Arial"/>
          <w:sz w:val="24"/>
          <w:szCs w:val="24"/>
          <w:lang w:eastAsia="pt-BR"/>
        </w:rPr>
        <w:t xml:space="preserve"> de </w:t>
      </w:r>
      <w:r w:rsidR="00AC3AB4">
        <w:rPr>
          <w:rFonts w:ascii="Arial" w:eastAsia="Times New Roman" w:hAnsi="Arial" w:cs="Arial"/>
          <w:sz w:val="24"/>
          <w:szCs w:val="24"/>
          <w:lang w:eastAsia="pt-BR"/>
        </w:rPr>
        <w:t>setembro</w:t>
      </w:r>
      <w:r w:rsidRPr="00247CD1">
        <w:rPr>
          <w:rFonts w:ascii="Arial" w:eastAsia="Times New Roman" w:hAnsi="Arial" w:cs="Arial"/>
          <w:sz w:val="24"/>
          <w:szCs w:val="24"/>
          <w:lang w:eastAsia="pt-BR"/>
        </w:rPr>
        <w:t xml:space="preserve"> de 202</w:t>
      </w:r>
      <w:r w:rsidR="00A757AF">
        <w:rPr>
          <w:rFonts w:ascii="Arial" w:eastAsia="Times New Roman" w:hAnsi="Arial" w:cs="Arial"/>
          <w:sz w:val="24"/>
          <w:szCs w:val="24"/>
          <w:lang w:eastAsia="pt-BR"/>
        </w:rPr>
        <w:t>5.</w:t>
      </w:r>
    </w:p>
    <w:p w14:paraId="1DDD38AC" w14:textId="77777777" w:rsidR="00247CD1" w:rsidRDefault="00247CD1" w:rsidP="00247CD1">
      <w:pPr>
        <w:spacing w:after="0" w:line="360" w:lineRule="auto"/>
        <w:jc w:val="center"/>
        <w:rPr>
          <w:rFonts w:ascii="Arial" w:eastAsia="Times New Roman" w:hAnsi="Arial" w:cs="Arial"/>
          <w:sz w:val="24"/>
          <w:szCs w:val="24"/>
          <w:lang w:eastAsia="pt-BR"/>
        </w:rPr>
      </w:pPr>
    </w:p>
    <w:p w14:paraId="02F4F28F" w14:textId="77777777" w:rsidR="008B14D7" w:rsidRDefault="008B14D7" w:rsidP="00247CD1">
      <w:pPr>
        <w:spacing w:after="0" w:line="360" w:lineRule="auto"/>
        <w:jc w:val="center"/>
        <w:rPr>
          <w:rFonts w:ascii="Arial" w:eastAsia="Times New Roman" w:hAnsi="Arial" w:cs="Arial"/>
          <w:sz w:val="24"/>
          <w:szCs w:val="24"/>
          <w:lang w:eastAsia="pt-BR"/>
        </w:rPr>
      </w:pPr>
    </w:p>
    <w:p w14:paraId="3CF256F5" w14:textId="77777777" w:rsidR="008B14D7" w:rsidRPr="00247CD1" w:rsidRDefault="008B14D7" w:rsidP="00247CD1">
      <w:pPr>
        <w:spacing w:after="0" w:line="360" w:lineRule="auto"/>
        <w:jc w:val="center"/>
        <w:rPr>
          <w:rFonts w:ascii="Arial" w:eastAsia="Times New Roman" w:hAnsi="Arial" w:cs="Arial"/>
          <w:sz w:val="24"/>
          <w:szCs w:val="24"/>
          <w:lang w:eastAsia="pt-BR"/>
        </w:rPr>
      </w:pPr>
    </w:p>
    <w:p w14:paraId="4AD3D3AF" w14:textId="77777777" w:rsidR="00247CD1" w:rsidRDefault="00247CD1" w:rsidP="00247CD1">
      <w:pPr>
        <w:spacing w:after="0" w:line="360" w:lineRule="auto"/>
        <w:jc w:val="center"/>
        <w:rPr>
          <w:rFonts w:ascii="Arial" w:eastAsia="Times New Roman" w:hAnsi="Arial" w:cs="Arial"/>
          <w:sz w:val="24"/>
          <w:szCs w:val="24"/>
          <w:lang w:eastAsia="pt-BR"/>
        </w:rPr>
      </w:pPr>
    </w:p>
    <w:p w14:paraId="31D9F1C9" w14:textId="77777777" w:rsidR="00AC3AB4" w:rsidRPr="00247CD1" w:rsidRDefault="00AC3AB4" w:rsidP="00247CD1">
      <w:pPr>
        <w:spacing w:after="0" w:line="360" w:lineRule="auto"/>
        <w:jc w:val="center"/>
        <w:rPr>
          <w:rFonts w:ascii="Arial" w:eastAsia="Times New Roman" w:hAnsi="Arial" w:cs="Arial"/>
          <w:sz w:val="24"/>
          <w:szCs w:val="24"/>
          <w:lang w:eastAsia="pt-BR"/>
        </w:rPr>
      </w:pPr>
    </w:p>
    <w:p w14:paraId="3B6CB911" w14:textId="77777777" w:rsidR="00247CD1" w:rsidRPr="00247CD1" w:rsidRDefault="00247CD1" w:rsidP="00247CD1">
      <w:pPr>
        <w:spacing w:after="0" w:line="360" w:lineRule="auto"/>
        <w:jc w:val="center"/>
        <w:rPr>
          <w:rFonts w:ascii="Arial" w:eastAsia="Times New Roman" w:hAnsi="Arial" w:cs="Arial"/>
          <w:sz w:val="24"/>
          <w:szCs w:val="24"/>
          <w:lang w:eastAsia="pt-BR"/>
        </w:rPr>
      </w:pPr>
      <w:r w:rsidRPr="00247CD1">
        <w:rPr>
          <w:rFonts w:ascii="Arial" w:eastAsia="Times New Roman" w:hAnsi="Arial" w:cs="Arial"/>
          <w:sz w:val="24"/>
          <w:szCs w:val="24"/>
          <w:lang w:eastAsia="pt-BR"/>
        </w:rPr>
        <w:t>_______________________________________</w:t>
      </w:r>
    </w:p>
    <w:p w14:paraId="55048882" w14:textId="28E9A6DF" w:rsidR="00247CD1" w:rsidRPr="00247CD1" w:rsidRDefault="00042EDE" w:rsidP="00247CD1">
      <w:pPr>
        <w:spacing w:after="0" w:line="360" w:lineRule="auto"/>
        <w:jc w:val="center"/>
        <w:rPr>
          <w:rFonts w:ascii="Arial" w:eastAsia="Times New Roman" w:hAnsi="Arial" w:cs="Arial"/>
          <w:b/>
          <w:bCs/>
          <w:sz w:val="24"/>
          <w:szCs w:val="24"/>
          <w:lang w:eastAsia="pt-BR"/>
        </w:rPr>
      </w:pPr>
      <w:r>
        <w:rPr>
          <w:rFonts w:ascii="Arial" w:eastAsia="Times New Roman" w:hAnsi="Arial" w:cs="Arial"/>
          <w:b/>
          <w:bCs/>
          <w:sz w:val="24"/>
          <w:szCs w:val="24"/>
          <w:lang w:eastAsia="pt-BR"/>
        </w:rPr>
        <w:t>DANIELE DIONÍSIO ALVES</w:t>
      </w:r>
    </w:p>
    <w:p w14:paraId="29F5BA12" w14:textId="78B210BD" w:rsidR="00247CD1" w:rsidRPr="00247CD1" w:rsidRDefault="00247CD1" w:rsidP="00247CD1">
      <w:pPr>
        <w:spacing w:after="0" w:line="360" w:lineRule="auto"/>
        <w:jc w:val="center"/>
        <w:rPr>
          <w:rFonts w:ascii="Arial" w:eastAsia="Times New Roman" w:hAnsi="Arial" w:cs="Arial"/>
          <w:sz w:val="24"/>
          <w:szCs w:val="24"/>
          <w:lang w:eastAsia="pt-BR"/>
        </w:rPr>
      </w:pPr>
      <w:r w:rsidRPr="00247CD1">
        <w:rPr>
          <w:rFonts w:ascii="Arial" w:eastAsia="Times New Roman" w:hAnsi="Arial" w:cs="Arial"/>
          <w:sz w:val="24"/>
          <w:szCs w:val="24"/>
          <w:lang w:eastAsia="pt-BR"/>
        </w:rPr>
        <w:t>Diretor</w:t>
      </w:r>
      <w:r w:rsidR="00042EDE">
        <w:rPr>
          <w:rFonts w:ascii="Arial" w:eastAsia="Times New Roman" w:hAnsi="Arial" w:cs="Arial"/>
          <w:sz w:val="24"/>
          <w:szCs w:val="24"/>
          <w:lang w:eastAsia="pt-BR"/>
        </w:rPr>
        <w:t>a</w:t>
      </w:r>
      <w:r w:rsidRPr="00247CD1">
        <w:rPr>
          <w:rFonts w:ascii="Arial" w:eastAsia="Times New Roman" w:hAnsi="Arial" w:cs="Arial"/>
          <w:sz w:val="24"/>
          <w:szCs w:val="24"/>
          <w:lang w:eastAsia="pt-BR"/>
        </w:rPr>
        <w:t xml:space="preserve"> do Departamento</w:t>
      </w:r>
      <w:r w:rsidR="00042EDE">
        <w:rPr>
          <w:rFonts w:ascii="Arial" w:eastAsia="Times New Roman" w:hAnsi="Arial" w:cs="Arial"/>
          <w:sz w:val="24"/>
          <w:szCs w:val="24"/>
          <w:lang w:eastAsia="pt-BR"/>
        </w:rPr>
        <w:t xml:space="preserve"> de Saúde.</w:t>
      </w:r>
    </w:p>
    <w:p w14:paraId="52F00C05" w14:textId="77777777" w:rsidR="00247CD1" w:rsidRDefault="00247CD1"/>
    <w:sectPr w:rsidR="00247CD1" w:rsidSect="00D711C2">
      <w:headerReference w:type="even" r:id="rId7"/>
      <w:headerReference w:type="default" r:id="rId8"/>
      <w:footerReference w:type="default" r:id="rId9"/>
      <w:pgSz w:w="11907" w:h="16840" w:code="9"/>
      <w:pgMar w:top="1701" w:right="1134" w:bottom="1134" w:left="1134" w:header="284" w:footer="227" w:gutter="0"/>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9A1039" w14:textId="77777777" w:rsidR="00902D27" w:rsidRDefault="00902D27" w:rsidP="00247CD1">
      <w:pPr>
        <w:spacing w:after="0" w:line="240" w:lineRule="auto"/>
      </w:pPr>
      <w:r>
        <w:separator/>
      </w:r>
    </w:p>
  </w:endnote>
  <w:endnote w:type="continuationSeparator" w:id="0">
    <w:p w14:paraId="047AB395" w14:textId="77777777" w:rsidR="00902D27" w:rsidRDefault="00902D27" w:rsidP="00247C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A9FE1E" w14:textId="77777777" w:rsidR="00247CD1" w:rsidRDefault="00247CD1" w:rsidP="00247CD1">
    <w:pPr>
      <w:spacing w:after="0" w:line="360" w:lineRule="auto"/>
      <w:jc w:val="center"/>
      <w:rPr>
        <w:rFonts w:ascii="Century Gothic" w:hAnsi="Century Gothic" w:cs="Arial"/>
        <w:b/>
        <w:sz w:val="16"/>
        <w:szCs w:val="16"/>
      </w:rPr>
    </w:pPr>
    <w:bookmarkStart w:id="1" w:name="_Hlk182223789"/>
    <w:bookmarkStart w:id="2" w:name="_Hlk182223790"/>
    <w:bookmarkStart w:id="3" w:name="_Hlk182223791"/>
    <w:bookmarkStart w:id="4" w:name="_Hlk182223792"/>
  </w:p>
  <w:p w14:paraId="3486845D" w14:textId="01145D3C" w:rsidR="00247CD1" w:rsidRPr="009C6CC0" w:rsidRDefault="00247CD1" w:rsidP="00247CD1">
    <w:pPr>
      <w:spacing w:after="0" w:line="276" w:lineRule="auto"/>
      <w:jc w:val="center"/>
      <w:rPr>
        <w:rFonts w:ascii="Century Gothic" w:hAnsi="Century Gothic" w:cs="Arial"/>
        <w:b/>
        <w:sz w:val="16"/>
        <w:szCs w:val="16"/>
      </w:rPr>
    </w:pPr>
    <w:r w:rsidRPr="009C6CC0">
      <w:rPr>
        <w:rFonts w:ascii="Century Gothic" w:hAnsi="Century Gothic" w:cs="Arial"/>
        <w:b/>
        <w:sz w:val="16"/>
        <w:szCs w:val="16"/>
      </w:rPr>
      <w:t>MIT | MUNICÍPIO DE INTERESSE TURÍSTICO DE IBIRAREMA – TERRA DA LINGUIÇA</w:t>
    </w:r>
    <w:r w:rsidR="001315C8">
      <w:rPr>
        <w:rFonts w:ascii="Century Gothic" w:hAnsi="Century Gothic" w:cs="Arial"/>
        <w:b/>
        <w:sz w:val="16"/>
        <w:szCs w:val="16"/>
      </w:rPr>
      <w:t xml:space="preserve"> E DO FEIJÃO CARIOCA</w:t>
    </w:r>
  </w:p>
  <w:p w14:paraId="2790B7DB" w14:textId="77777777" w:rsidR="00247CD1" w:rsidRPr="009C6CC0" w:rsidRDefault="00247CD1" w:rsidP="00247CD1">
    <w:pPr>
      <w:spacing w:after="0" w:line="276" w:lineRule="auto"/>
      <w:jc w:val="center"/>
      <w:rPr>
        <w:rFonts w:ascii="Century Gothic" w:hAnsi="Century Gothic" w:cs="Arial"/>
        <w:sz w:val="14"/>
        <w:szCs w:val="16"/>
      </w:rPr>
    </w:pPr>
    <w:r w:rsidRPr="009C6CC0">
      <w:rPr>
        <w:rFonts w:ascii="Century Gothic" w:hAnsi="Century Gothic" w:cs="Arial"/>
        <w:sz w:val="14"/>
        <w:szCs w:val="16"/>
      </w:rPr>
      <w:t>“PAPEL RECICLADO: IBIRAREMA CUIDANDO DO MEIO AMBIENTE”</w:t>
    </w:r>
    <w:bookmarkEnd w:id="1"/>
    <w:bookmarkEnd w:id="2"/>
    <w:bookmarkEnd w:id="3"/>
    <w:bookmarkEnd w:id="4"/>
  </w:p>
  <w:p w14:paraId="75EA1EC1" w14:textId="77777777" w:rsidR="0065259E" w:rsidRDefault="0065259E">
    <w:pPr>
      <w:pStyle w:val="Rodap"/>
      <w:jc w:val="center"/>
      <w:rPr>
        <w:rFonts w:ascii="Arial" w:hAnsi="Arial"/>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FBE202" w14:textId="77777777" w:rsidR="00902D27" w:rsidRDefault="00902D27" w:rsidP="00247CD1">
      <w:pPr>
        <w:spacing w:after="0" w:line="240" w:lineRule="auto"/>
      </w:pPr>
      <w:r>
        <w:separator/>
      </w:r>
    </w:p>
  </w:footnote>
  <w:footnote w:type="continuationSeparator" w:id="0">
    <w:p w14:paraId="675F077D" w14:textId="77777777" w:rsidR="00902D27" w:rsidRDefault="00902D27" w:rsidP="00247C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C59416" w14:textId="77777777" w:rsidR="0065259E" w:rsidRDefault="00F15D83">
    <w:pPr>
      <w:pStyle w:val="Cabealho"/>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2</w:t>
    </w:r>
    <w:r>
      <w:rPr>
        <w:rStyle w:val="Nmerodepgina"/>
      </w:rPr>
      <w:fldChar w:fldCharType="end"/>
    </w:r>
  </w:p>
  <w:p w14:paraId="41CED6D6" w14:textId="77777777" w:rsidR="0065259E" w:rsidRDefault="0065259E">
    <w:pPr>
      <w:pStyle w:val="Cabealh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1D8ADE" w14:textId="77777777" w:rsidR="00247CD1" w:rsidRPr="00316155" w:rsidRDefault="00247CD1" w:rsidP="00522C4D">
    <w:pPr>
      <w:spacing w:after="0" w:line="360" w:lineRule="auto"/>
      <w:jc w:val="center"/>
      <w:rPr>
        <w:rFonts w:ascii="Corbel" w:hAnsi="Corbel"/>
        <w:szCs w:val="26"/>
      </w:rPr>
    </w:pPr>
    <w:r w:rsidRPr="00316155">
      <w:rPr>
        <w:rFonts w:ascii="Corbel" w:hAnsi="Corbel"/>
        <w:noProof/>
        <w:szCs w:val="26"/>
      </w:rPr>
      <w:drawing>
        <wp:anchor distT="0" distB="0" distL="114300" distR="114300" simplePos="0" relativeHeight="251660288" behindDoc="1" locked="0" layoutInCell="1" allowOverlap="1" wp14:anchorId="2F69B6E9" wp14:editId="059AE27D">
          <wp:simplePos x="0" y="0"/>
          <wp:positionH relativeFrom="margin">
            <wp:posOffset>5543550</wp:posOffset>
          </wp:positionH>
          <wp:positionV relativeFrom="paragraph">
            <wp:posOffset>107315</wp:posOffset>
          </wp:positionV>
          <wp:extent cx="808990" cy="575945"/>
          <wp:effectExtent l="0" t="0" r="0" b="0"/>
          <wp:wrapSquare wrapText="bothSides"/>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ods-aberto-min.png"/>
                  <pic:cNvPicPr/>
                </pic:nvPicPr>
                <pic:blipFill>
                  <a:blip r:embed="rId1">
                    <a:extLst>
                      <a:ext uri="{28A0092B-C50C-407E-A947-70E740481C1C}">
                        <a14:useLocalDpi xmlns:a14="http://schemas.microsoft.com/office/drawing/2010/main" val="0"/>
                      </a:ext>
                    </a:extLst>
                  </a:blip>
                  <a:stretch>
                    <a:fillRect/>
                  </a:stretch>
                </pic:blipFill>
                <pic:spPr>
                  <a:xfrm>
                    <a:off x="0" y="0"/>
                    <a:ext cx="808990" cy="575945"/>
                  </a:xfrm>
                  <a:prstGeom prst="rect">
                    <a:avLst/>
                  </a:prstGeom>
                </pic:spPr>
              </pic:pic>
            </a:graphicData>
          </a:graphic>
          <wp14:sizeRelH relativeFrom="margin">
            <wp14:pctWidth>0</wp14:pctWidth>
          </wp14:sizeRelH>
          <wp14:sizeRelV relativeFrom="margin">
            <wp14:pctHeight>0</wp14:pctHeight>
          </wp14:sizeRelV>
        </wp:anchor>
      </w:drawing>
    </w:r>
    <w:r w:rsidRPr="00316155">
      <w:rPr>
        <w:rFonts w:ascii="Corbel" w:hAnsi="Corbel"/>
        <w:noProof/>
        <w:szCs w:val="26"/>
      </w:rPr>
      <w:drawing>
        <wp:anchor distT="0" distB="0" distL="114300" distR="114300" simplePos="0" relativeHeight="251661312" behindDoc="1" locked="0" layoutInCell="1" allowOverlap="1" wp14:anchorId="21EF80B9" wp14:editId="7C29EC3B">
          <wp:simplePos x="0" y="0"/>
          <wp:positionH relativeFrom="margin">
            <wp:posOffset>4865370</wp:posOffset>
          </wp:positionH>
          <wp:positionV relativeFrom="paragraph">
            <wp:posOffset>114935</wp:posOffset>
          </wp:positionV>
          <wp:extent cx="665480" cy="575945"/>
          <wp:effectExtent l="0" t="0" r="1270" b="0"/>
          <wp:wrapSquare wrapText="bothSides"/>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Municipios Paulistas Resilientes_cor-min.png"/>
                  <pic:cNvPicPr/>
                </pic:nvPicPr>
                <pic:blipFill rotWithShape="1">
                  <a:blip r:embed="rId2" cstate="print">
                    <a:extLst>
                      <a:ext uri="{28A0092B-C50C-407E-A947-70E740481C1C}">
                        <a14:useLocalDpi xmlns:a14="http://schemas.microsoft.com/office/drawing/2010/main" val="0"/>
                      </a:ext>
                    </a:extLst>
                  </a:blip>
                  <a:srcRect l="18398" t="13168" r="24547" b="17050"/>
                  <a:stretch/>
                </pic:blipFill>
                <pic:spPr bwMode="auto">
                  <a:xfrm>
                    <a:off x="0" y="0"/>
                    <a:ext cx="665480" cy="5759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316155">
      <w:rPr>
        <w:rFonts w:ascii="Corbel" w:hAnsi="Corbel"/>
        <w:noProof/>
        <w:szCs w:val="26"/>
      </w:rPr>
      <w:drawing>
        <wp:anchor distT="0" distB="0" distL="114300" distR="114300" simplePos="0" relativeHeight="251659264" behindDoc="1" locked="0" layoutInCell="1" allowOverlap="1" wp14:anchorId="6F588805" wp14:editId="326719EF">
          <wp:simplePos x="0" y="0"/>
          <wp:positionH relativeFrom="margin">
            <wp:posOffset>-232410</wp:posOffset>
          </wp:positionH>
          <wp:positionV relativeFrom="paragraph">
            <wp:posOffset>8255</wp:posOffset>
          </wp:positionV>
          <wp:extent cx="819150" cy="796290"/>
          <wp:effectExtent l="0" t="0" r="0" b="3810"/>
          <wp:wrapSquare wrapText="bothSides"/>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asão-min.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819150" cy="796290"/>
                  </a:xfrm>
                  <a:prstGeom prst="rect">
                    <a:avLst/>
                  </a:prstGeom>
                </pic:spPr>
              </pic:pic>
            </a:graphicData>
          </a:graphic>
          <wp14:sizeRelH relativeFrom="margin">
            <wp14:pctWidth>0</wp14:pctWidth>
          </wp14:sizeRelH>
          <wp14:sizeRelV relativeFrom="margin">
            <wp14:pctHeight>0</wp14:pctHeight>
          </wp14:sizeRelV>
        </wp:anchor>
      </w:drawing>
    </w:r>
    <w:r w:rsidRPr="00316155">
      <w:rPr>
        <w:rFonts w:ascii="Century Gothic" w:hAnsi="Century Gothic"/>
        <w:b/>
        <w:sz w:val="30"/>
        <w:szCs w:val="30"/>
      </w:rPr>
      <w:t>MUNICÍPIO DE IBIRAREMA</w:t>
    </w:r>
  </w:p>
  <w:p w14:paraId="7865394B" w14:textId="77777777" w:rsidR="00247CD1" w:rsidRDefault="00247CD1" w:rsidP="00B310E2">
    <w:pPr>
      <w:spacing w:after="0" w:line="360" w:lineRule="auto"/>
      <w:jc w:val="center"/>
      <w:rPr>
        <w:rFonts w:ascii="Century Gothic" w:hAnsi="Century Gothic"/>
        <w:sz w:val="14"/>
        <w:szCs w:val="21"/>
      </w:rPr>
    </w:pPr>
    <w:r w:rsidRPr="00316155">
      <w:rPr>
        <w:rFonts w:ascii="Century Gothic" w:hAnsi="Century Gothic"/>
        <w:sz w:val="14"/>
        <w:szCs w:val="21"/>
      </w:rPr>
      <w:t>Rua Alexandre Simões de Almeida, 367 | CEP 19940-009 | Ibirarema (SP)</w:t>
    </w:r>
  </w:p>
  <w:p w14:paraId="5E53D97F" w14:textId="77777777" w:rsidR="00247CD1" w:rsidRDefault="00247CD1" w:rsidP="00B310E2">
    <w:pPr>
      <w:spacing w:after="0" w:line="360" w:lineRule="auto"/>
      <w:jc w:val="center"/>
      <w:rPr>
        <w:rFonts w:ascii="Century Gothic" w:hAnsi="Century Gothic"/>
        <w:sz w:val="14"/>
        <w:szCs w:val="21"/>
      </w:rPr>
    </w:pPr>
    <w:r>
      <w:rPr>
        <w:rFonts w:ascii="Century Gothic" w:hAnsi="Century Gothic"/>
        <w:sz w:val="14"/>
        <w:szCs w:val="21"/>
      </w:rPr>
      <w:t>I</w:t>
    </w:r>
    <w:r w:rsidRPr="00316155">
      <w:rPr>
        <w:rFonts w:ascii="Century Gothic" w:hAnsi="Century Gothic"/>
        <w:sz w:val="14"/>
        <w:szCs w:val="21"/>
      </w:rPr>
      <w:t>birarema.sp.gov.br | planejamento@ibirarema.sp.gov.br | (14) 3307.1422</w:t>
    </w:r>
  </w:p>
  <w:p w14:paraId="51CBC2AA" w14:textId="70664716" w:rsidR="00247CD1" w:rsidRPr="00522C4D" w:rsidRDefault="00247CD1" w:rsidP="00B310E2">
    <w:pPr>
      <w:spacing w:after="0" w:line="360" w:lineRule="auto"/>
      <w:jc w:val="center"/>
      <w:rPr>
        <w:rFonts w:ascii="Century Gothic" w:hAnsi="Century Gothic"/>
        <w:sz w:val="14"/>
        <w:szCs w:val="21"/>
      </w:rPr>
    </w:pPr>
    <w:r w:rsidRPr="00316155">
      <w:rPr>
        <w:rFonts w:ascii="Century Gothic" w:hAnsi="Century Gothic"/>
        <w:b/>
        <w:sz w:val="16"/>
        <w:szCs w:val="21"/>
      </w:rPr>
      <w:t>DEPARTAMENTO DE</w:t>
    </w:r>
    <w:r w:rsidR="00927EEC">
      <w:rPr>
        <w:rFonts w:ascii="Century Gothic" w:hAnsi="Century Gothic"/>
        <w:b/>
        <w:sz w:val="16"/>
        <w:szCs w:val="21"/>
      </w:rPr>
      <w:t xml:space="preserve"> SAÚDE</w:t>
    </w:r>
  </w:p>
  <w:p w14:paraId="10F7D252" w14:textId="77777777" w:rsidR="00247CD1" w:rsidRDefault="00247CD1">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3F2B27"/>
    <w:multiLevelType w:val="hybridMultilevel"/>
    <w:tmpl w:val="C786EEA0"/>
    <w:lvl w:ilvl="0" w:tplc="04160001">
      <w:start w:val="1"/>
      <w:numFmt w:val="bullet"/>
      <w:lvlText w:val=""/>
      <w:lvlJc w:val="left"/>
      <w:pPr>
        <w:ind w:left="1146" w:hanging="360"/>
      </w:pPr>
      <w:rPr>
        <w:rFonts w:ascii="Symbol" w:hAnsi="Symbol" w:hint="default"/>
      </w:rPr>
    </w:lvl>
    <w:lvl w:ilvl="1" w:tplc="04160003" w:tentative="1">
      <w:start w:val="1"/>
      <w:numFmt w:val="bullet"/>
      <w:lvlText w:val="o"/>
      <w:lvlJc w:val="left"/>
      <w:pPr>
        <w:ind w:left="1866" w:hanging="360"/>
      </w:pPr>
      <w:rPr>
        <w:rFonts w:ascii="Courier New" w:hAnsi="Courier New" w:cs="Courier New" w:hint="default"/>
      </w:rPr>
    </w:lvl>
    <w:lvl w:ilvl="2" w:tplc="04160005" w:tentative="1">
      <w:start w:val="1"/>
      <w:numFmt w:val="bullet"/>
      <w:lvlText w:val=""/>
      <w:lvlJc w:val="left"/>
      <w:pPr>
        <w:ind w:left="2586" w:hanging="360"/>
      </w:pPr>
      <w:rPr>
        <w:rFonts w:ascii="Wingdings" w:hAnsi="Wingdings" w:hint="default"/>
      </w:rPr>
    </w:lvl>
    <w:lvl w:ilvl="3" w:tplc="04160001" w:tentative="1">
      <w:start w:val="1"/>
      <w:numFmt w:val="bullet"/>
      <w:lvlText w:val=""/>
      <w:lvlJc w:val="left"/>
      <w:pPr>
        <w:ind w:left="3306" w:hanging="360"/>
      </w:pPr>
      <w:rPr>
        <w:rFonts w:ascii="Symbol" w:hAnsi="Symbol" w:hint="default"/>
      </w:rPr>
    </w:lvl>
    <w:lvl w:ilvl="4" w:tplc="04160003" w:tentative="1">
      <w:start w:val="1"/>
      <w:numFmt w:val="bullet"/>
      <w:lvlText w:val="o"/>
      <w:lvlJc w:val="left"/>
      <w:pPr>
        <w:ind w:left="4026" w:hanging="360"/>
      </w:pPr>
      <w:rPr>
        <w:rFonts w:ascii="Courier New" w:hAnsi="Courier New" w:cs="Courier New" w:hint="default"/>
      </w:rPr>
    </w:lvl>
    <w:lvl w:ilvl="5" w:tplc="04160005" w:tentative="1">
      <w:start w:val="1"/>
      <w:numFmt w:val="bullet"/>
      <w:lvlText w:val=""/>
      <w:lvlJc w:val="left"/>
      <w:pPr>
        <w:ind w:left="4746" w:hanging="360"/>
      </w:pPr>
      <w:rPr>
        <w:rFonts w:ascii="Wingdings" w:hAnsi="Wingdings" w:hint="default"/>
      </w:rPr>
    </w:lvl>
    <w:lvl w:ilvl="6" w:tplc="04160001" w:tentative="1">
      <w:start w:val="1"/>
      <w:numFmt w:val="bullet"/>
      <w:lvlText w:val=""/>
      <w:lvlJc w:val="left"/>
      <w:pPr>
        <w:ind w:left="5466" w:hanging="360"/>
      </w:pPr>
      <w:rPr>
        <w:rFonts w:ascii="Symbol" w:hAnsi="Symbol" w:hint="default"/>
      </w:rPr>
    </w:lvl>
    <w:lvl w:ilvl="7" w:tplc="04160003" w:tentative="1">
      <w:start w:val="1"/>
      <w:numFmt w:val="bullet"/>
      <w:lvlText w:val="o"/>
      <w:lvlJc w:val="left"/>
      <w:pPr>
        <w:ind w:left="6186" w:hanging="360"/>
      </w:pPr>
      <w:rPr>
        <w:rFonts w:ascii="Courier New" w:hAnsi="Courier New" w:cs="Courier New" w:hint="default"/>
      </w:rPr>
    </w:lvl>
    <w:lvl w:ilvl="8" w:tplc="04160005" w:tentative="1">
      <w:start w:val="1"/>
      <w:numFmt w:val="bullet"/>
      <w:lvlText w:val=""/>
      <w:lvlJc w:val="left"/>
      <w:pPr>
        <w:ind w:left="6906" w:hanging="360"/>
      </w:pPr>
      <w:rPr>
        <w:rFonts w:ascii="Wingdings" w:hAnsi="Wingdings" w:hint="default"/>
      </w:rPr>
    </w:lvl>
  </w:abstractNum>
  <w:abstractNum w:abstractNumId="1" w15:restartNumberingAfterBreak="0">
    <w:nsid w:val="664238FE"/>
    <w:multiLevelType w:val="hybridMultilevel"/>
    <w:tmpl w:val="E006DE30"/>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978799264">
    <w:abstractNumId w:val="0"/>
  </w:num>
  <w:num w:numId="2" w16cid:durableId="11278957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7CD1"/>
    <w:rsid w:val="00042EDE"/>
    <w:rsid w:val="00051B1F"/>
    <w:rsid w:val="000A233A"/>
    <w:rsid w:val="000B22D3"/>
    <w:rsid w:val="000C46F2"/>
    <w:rsid w:val="000C5880"/>
    <w:rsid w:val="000F703E"/>
    <w:rsid w:val="00126349"/>
    <w:rsid w:val="001315C8"/>
    <w:rsid w:val="00152816"/>
    <w:rsid w:val="00196C23"/>
    <w:rsid w:val="001B6D38"/>
    <w:rsid w:val="00247CD1"/>
    <w:rsid w:val="002609AA"/>
    <w:rsid w:val="00293CF0"/>
    <w:rsid w:val="00325D66"/>
    <w:rsid w:val="00334A08"/>
    <w:rsid w:val="003E2CAA"/>
    <w:rsid w:val="00512D6F"/>
    <w:rsid w:val="00521942"/>
    <w:rsid w:val="0065259E"/>
    <w:rsid w:val="00656373"/>
    <w:rsid w:val="00732F68"/>
    <w:rsid w:val="007D5510"/>
    <w:rsid w:val="007E1A86"/>
    <w:rsid w:val="007E729C"/>
    <w:rsid w:val="008B14D7"/>
    <w:rsid w:val="00902D27"/>
    <w:rsid w:val="00927EEC"/>
    <w:rsid w:val="00A47FA6"/>
    <w:rsid w:val="00A757AF"/>
    <w:rsid w:val="00AC3AB4"/>
    <w:rsid w:val="00B064CD"/>
    <w:rsid w:val="00B31196"/>
    <w:rsid w:val="00B50E1F"/>
    <w:rsid w:val="00B53578"/>
    <w:rsid w:val="00B63B69"/>
    <w:rsid w:val="00B65D4D"/>
    <w:rsid w:val="00BD5000"/>
    <w:rsid w:val="00D675F3"/>
    <w:rsid w:val="00F15D83"/>
    <w:rsid w:val="00F7633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66C63B"/>
  <w15:chartTrackingRefBased/>
  <w15:docId w15:val="{1B6BD2E6-8045-4B44-A1C3-A5C2B8F363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unhideWhenUsed/>
    <w:rsid w:val="00247CD1"/>
    <w:pPr>
      <w:tabs>
        <w:tab w:val="center" w:pos="4252"/>
        <w:tab w:val="right" w:pos="8504"/>
      </w:tabs>
      <w:spacing w:after="0" w:line="240" w:lineRule="auto"/>
    </w:pPr>
  </w:style>
  <w:style w:type="character" w:customStyle="1" w:styleId="RodapChar">
    <w:name w:val="Rodapé Char"/>
    <w:basedOn w:val="Fontepargpadro"/>
    <w:link w:val="Rodap"/>
    <w:uiPriority w:val="99"/>
    <w:rsid w:val="00247CD1"/>
  </w:style>
  <w:style w:type="paragraph" w:styleId="Cabealho">
    <w:name w:val="header"/>
    <w:basedOn w:val="Normal"/>
    <w:link w:val="CabealhoChar"/>
    <w:uiPriority w:val="99"/>
    <w:unhideWhenUsed/>
    <w:rsid w:val="00247CD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47CD1"/>
  </w:style>
  <w:style w:type="character" w:styleId="Nmerodepgina">
    <w:name w:val="page number"/>
    <w:basedOn w:val="Fontepargpadro"/>
    <w:rsid w:val="00247CD1"/>
  </w:style>
  <w:style w:type="table" w:styleId="Tabelacomgrade">
    <w:name w:val="Table Grid"/>
    <w:basedOn w:val="Tabelanormal"/>
    <w:uiPriority w:val="59"/>
    <w:rsid w:val="00247CD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34"/>
    <w:qFormat/>
    <w:rsid w:val="00BD500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403</TotalTime>
  <Pages>10</Pages>
  <Words>3458</Words>
  <Characters>18676</Characters>
  <Application>Microsoft Office Word</Application>
  <DocSecurity>0</DocSecurity>
  <Lines>155</Lines>
  <Paragraphs>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Prefeitura Ibirarema</dc:creator>
  <cp:keywords/>
  <dc:description/>
  <cp:lastModifiedBy>Pedro Rafael Aparecido Barbosa</cp:lastModifiedBy>
  <cp:revision>44</cp:revision>
  <dcterms:created xsi:type="dcterms:W3CDTF">2024-12-12T17:23:00Z</dcterms:created>
  <dcterms:modified xsi:type="dcterms:W3CDTF">2025-09-18T13:32:00Z</dcterms:modified>
</cp:coreProperties>
</file>